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120B" w14:textId="77777777" w:rsidR="00B7483B" w:rsidRPr="00DE3E0A" w:rsidRDefault="00B7483B" w:rsidP="002B75D1">
      <w:pPr>
        <w:jc w:val="center"/>
        <w:rPr>
          <w:rFonts w:cstheme="minorHAnsi"/>
          <w:b/>
          <w:sz w:val="24"/>
          <w:szCs w:val="24"/>
          <w:lang w:val="sq-AL"/>
        </w:rPr>
      </w:pPr>
    </w:p>
    <w:p w14:paraId="73E91EDF" w14:textId="5397EC1E" w:rsidR="002B75D1" w:rsidRPr="00DE3E0A" w:rsidRDefault="002B75D1" w:rsidP="002B75D1">
      <w:pPr>
        <w:jc w:val="center"/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Termat e Referencës</w:t>
      </w:r>
    </w:p>
    <w:p w14:paraId="51523F15" w14:textId="3B83FB2A" w:rsidR="002B75D1" w:rsidRPr="00DE3E0A" w:rsidRDefault="002B75D1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Ekspert/e për </w:t>
      </w:r>
      <w:r w:rsidR="00CD7253" w:rsidRPr="00DE3E0A">
        <w:rPr>
          <w:rFonts w:cstheme="minorHAnsi"/>
          <w:sz w:val="24"/>
          <w:szCs w:val="24"/>
          <w:lang w:val="sq-AL"/>
        </w:rPr>
        <w:t xml:space="preserve">Hartimin e Strategjisë Trevjeçare të </w:t>
      </w:r>
      <w:proofErr w:type="spellStart"/>
      <w:r w:rsidR="00CD7253" w:rsidRPr="00DE3E0A">
        <w:rPr>
          <w:rFonts w:cstheme="minorHAnsi"/>
          <w:sz w:val="24"/>
          <w:szCs w:val="24"/>
          <w:lang w:val="sq-AL"/>
        </w:rPr>
        <w:t>Avokimit</w:t>
      </w:r>
      <w:proofErr w:type="spellEnd"/>
      <w:r w:rsidR="00CD7253" w:rsidRPr="00DE3E0A">
        <w:rPr>
          <w:rFonts w:cstheme="minorHAnsi"/>
          <w:sz w:val="24"/>
          <w:szCs w:val="24"/>
          <w:lang w:val="sq-AL"/>
        </w:rPr>
        <w:t xml:space="preserve"> (2026–2028) për grupet e fëmijëve ROR dhe AKF</w:t>
      </w:r>
    </w:p>
    <w:p w14:paraId="5B4ADC06" w14:textId="77777777" w:rsidR="002B75D1" w:rsidRPr="00DE3E0A" w:rsidRDefault="002B75D1" w:rsidP="002B75D1">
      <w:pPr>
        <w:rPr>
          <w:rFonts w:cstheme="minorHAnsi"/>
          <w:b/>
          <w:bCs/>
          <w:sz w:val="24"/>
          <w:szCs w:val="24"/>
          <w:lang w:val="sq-AL"/>
        </w:rPr>
      </w:pPr>
      <w:r w:rsidRPr="00DE3E0A">
        <w:rPr>
          <w:rFonts w:cstheme="minorHAnsi"/>
          <w:b/>
          <w:bCs/>
          <w:sz w:val="24"/>
          <w:szCs w:val="24"/>
          <w:lang w:val="sq-AL"/>
        </w:rPr>
        <w:t>Hyrje</w:t>
      </w:r>
    </w:p>
    <w:p w14:paraId="61E7B263" w14:textId="77777777" w:rsidR="002B75D1" w:rsidRPr="00DE3E0A" w:rsidRDefault="002B75D1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Syri i Vizionit (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) është regjistruar zyrtarisht si organizatë joqeveritare lokale në shtator të vitit 2001, por ka filluar të funksionojë edhe më herët, që nga viti 1999, si Organizatë e Bazuar në Komunitet (CBO) në komunën e Pejës. Që nga fillimi, motoja e organizatës ka qenë “Mendo globalisht, vepro </w:t>
      </w:r>
      <w:proofErr w:type="spellStart"/>
      <w:r w:rsidRPr="00DE3E0A">
        <w:rPr>
          <w:rFonts w:cstheme="minorHAnsi"/>
          <w:sz w:val="24"/>
          <w:szCs w:val="24"/>
          <w:lang w:val="sq-AL"/>
        </w:rPr>
        <w:t>lokalisht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”, të cilës organizata i ka qëndruar besnike. Misioni i organizatës është “Zhvillimi i komunitetit të njerëzve, grupeve joformale, organizatave, rrjeteve, institucioneve dhe donatorëve përmes </w:t>
      </w:r>
      <w:proofErr w:type="spellStart"/>
      <w:r w:rsidRPr="00DE3E0A">
        <w:rPr>
          <w:rFonts w:cstheme="minorHAnsi"/>
          <w:sz w:val="24"/>
          <w:szCs w:val="24"/>
          <w:lang w:val="sq-AL"/>
        </w:rPr>
        <w:t>avokimit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, shkëmbimit të informacionit dhe ndërgjegjësimit” dhe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përmes veprimit të saj dëshmon se është një organizatë që kryen veprime lokale bazuar në praktikat më të mira.</w:t>
      </w:r>
    </w:p>
    <w:p w14:paraId="10B36280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II. Informata të përgjithshme</w:t>
      </w:r>
    </w:p>
    <w:p w14:paraId="4C13EDEB" w14:textId="3F0D2BD7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Syri i Vizionit (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), në partneritet me Save the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Children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– Zyra në Kosovë (</w:t>
      </w:r>
      <w:proofErr w:type="spellStart"/>
      <w:r w:rsidRPr="00DE3E0A">
        <w:rPr>
          <w:rFonts w:cstheme="minorHAnsi"/>
          <w:sz w:val="24"/>
          <w:szCs w:val="24"/>
          <w:lang w:val="sq-AL"/>
        </w:rPr>
        <w:t>SCiK</w:t>
      </w:r>
      <w:proofErr w:type="spellEnd"/>
      <w:r w:rsidRPr="00DE3E0A">
        <w:rPr>
          <w:rFonts w:cstheme="minorHAnsi"/>
          <w:sz w:val="24"/>
          <w:szCs w:val="24"/>
          <w:lang w:val="sq-AL"/>
        </w:rPr>
        <w:t>), tash e disa vite po zbaton programe që synojnë monitorimin dhe mbrojtjen e të drejtave të fëmijëve në Kosovë, në përputhje me Konventën Ndërkombëtare për të Drejtat e Fëmijës dhe me Ligjin për Mbrojtjen e Fëmijës Nr. 06/L-084.</w:t>
      </w:r>
    </w:p>
    <w:p w14:paraId="626FEE22" w14:textId="7A72D8C7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Këto programe kanë për qëllim fuqizimin e mekanizmave dhe krijimin e mundësive për pjesëmarrje aktive të fëmijëve në vendimmarrje në të gjitha aspektet që lidhen me interesin më të mirë të tyre, duke përfshi arsimin, shëndetin, mjedisin, </w:t>
      </w:r>
      <w:r w:rsidR="00CD7253" w:rsidRPr="00DE3E0A">
        <w:rPr>
          <w:rFonts w:cstheme="minorHAnsi"/>
          <w:sz w:val="24"/>
          <w:szCs w:val="24"/>
          <w:lang w:val="sq-AL"/>
        </w:rPr>
        <w:t>proceset vendimmarrëse në nivel lokal dhe kombëtar</w:t>
      </w:r>
      <w:r w:rsidRPr="00DE3E0A">
        <w:rPr>
          <w:rFonts w:cstheme="minorHAnsi"/>
          <w:sz w:val="24"/>
          <w:szCs w:val="24"/>
          <w:lang w:val="sq-AL"/>
        </w:rPr>
        <w:t xml:space="preserve"> si dhe </w:t>
      </w:r>
      <w:r w:rsidR="00CD7253" w:rsidRPr="00DE3E0A">
        <w:rPr>
          <w:rFonts w:cstheme="minorHAnsi"/>
          <w:sz w:val="24"/>
          <w:szCs w:val="24"/>
          <w:lang w:val="sq-AL"/>
        </w:rPr>
        <w:t>jetën sociale e rekreative</w:t>
      </w:r>
    </w:p>
    <w:p w14:paraId="44F1B0CC" w14:textId="1913C5F6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Në kuadër të programit tematik “Fuqizimi i Fëmijëve për Ndryshim Politikash dhe Pjesëmarrje”, fokusi është fuqizimi i grupeve të fëmijëve përmes Asambleve Komunale të Fëmijëve (AKF) dhe Grupit Monitorues </w:t>
      </w:r>
      <w:proofErr w:type="spellStart"/>
      <w:r w:rsidRPr="00DE3E0A">
        <w:rPr>
          <w:rFonts w:cstheme="minorHAnsi"/>
          <w:sz w:val="24"/>
          <w:szCs w:val="24"/>
          <w:lang w:val="sq-AL"/>
        </w:rPr>
        <w:t>Respect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E3E0A">
        <w:rPr>
          <w:rFonts w:cstheme="minorHAnsi"/>
          <w:sz w:val="24"/>
          <w:szCs w:val="24"/>
          <w:lang w:val="sq-AL"/>
        </w:rPr>
        <w:t>Our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E3E0A">
        <w:rPr>
          <w:rFonts w:cstheme="minorHAnsi"/>
          <w:sz w:val="24"/>
          <w:szCs w:val="24"/>
          <w:lang w:val="sq-AL"/>
        </w:rPr>
        <w:t>Rights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(ROR), për të siguruar që fëmijët të kenë një pjesëmarrje aktive dhe ndikim real në politikat lokale dhe kombëtare.</w:t>
      </w:r>
    </w:p>
    <w:p w14:paraId="7CACF465" w14:textId="11582274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Në këtë kontekst, për të forcuar kapacitetin 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avokimit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për të hartuar një plan strategjik trevjeçar (2026–2028), do të organizohet një punëtori tre-ditore me anëtarët e ROR dhe kryetarët e AKF-ve për hartimin e një Strategjie të Përbashkët të </w:t>
      </w:r>
      <w:proofErr w:type="spellStart"/>
      <w:r w:rsidRPr="00DE3E0A">
        <w:rPr>
          <w:rFonts w:cstheme="minorHAnsi"/>
          <w:sz w:val="24"/>
          <w:szCs w:val="24"/>
          <w:lang w:val="sq-AL"/>
        </w:rPr>
        <w:t>Avokimit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në nivel lokal dhe kombëtar, në përputhje me nevojat dhe interesat reale të fëmijëve.</w:t>
      </w:r>
    </w:p>
    <w:p w14:paraId="458D9F1B" w14:textId="44CF1000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Procesi do të lehtësohet nga një ekspert i jashtëm, në bashkëpunim të ngushtë me stafin 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SCiK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, duke siguruar që strategjia </w:t>
      </w:r>
      <w:r w:rsidR="008F4CBE" w:rsidRPr="00DE3E0A">
        <w:rPr>
          <w:rFonts w:cstheme="minorHAnsi"/>
          <w:sz w:val="24"/>
          <w:szCs w:val="24"/>
          <w:lang w:val="sq-AL"/>
        </w:rPr>
        <w:t xml:space="preserve">e </w:t>
      </w:r>
      <w:proofErr w:type="spellStart"/>
      <w:r w:rsidR="008F4CBE" w:rsidRPr="00DE3E0A">
        <w:rPr>
          <w:rFonts w:cstheme="minorHAnsi"/>
          <w:sz w:val="24"/>
          <w:szCs w:val="24"/>
          <w:lang w:val="sq-AL"/>
        </w:rPr>
        <w:t>avokimit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të jetë e bazuar në evidenca, </w:t>
      </w:r>
      <w:r w:rsidR="008F4CBE" w:rsidRPr="00DE3E0A">
        <w:rPr>
          <w:rFonts w:cstheme="minorHAnsi"/>
          <w:sz w:val="24"/>
          <w:szCs w:val="24"/>
          <w:lang w:val="sq-AL"/>
        </w:rPr>
        <w:t xml:space="preserve">qëllimet e ROR dhe AKF për të </w:t>
      </w:r>
      <w:proofErr w:type="spellStart"/>
      <w:r w:rsidR="008F4CBE" w:rsidRPr="00DE3E0A">
        <w:rPr>
          <w:rFonts w:cstheme="minorHAnsi"/>
          <w:sz w:val="24"/>
          <w:szCs w:val="24"/>
          <w:lang w:val="sq-AL"/>
        </w:rPr>
        <w:t>përmirësu</w:t>
      </w:r>
      <w:proofErr w:type="spellEnd"/>
      <w:r w:rsidR="008F4CBE" w:rsidRPr="00DE3E0A">
        <w:rPr>
          <w:rFonts w:cstheme="minorHAnsi"/>
          <w:sz w:val="24"/>
          <w:szCs w:val="24"/>
          <w:lang w:val="sq-AL"/>
        </w:rPr>
        <w:t xml:space="preserve"> pozitën e pjesëmarrjes aktive të tyre në vendimmarrje.</w:t>
      </w:r>
    </w:p>
    <w:p w14:paraId="403D1E8F" w14:textId="77777777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</w:p>
    <w:p w14:paraId="2C96CD19" w14:textId="77777777" w:rsidR="008F4CBE" w:rsidRPr="00DE3E0A" w:rsidRDefault="008F4CBE" w:rsidP="00222BFC">
      <w:pPr>
        <w:rPr>
          <w:rFonts w:cstheme="minorHAnsi"/>
          <w:sz w:val="24"/>
          <w:szCs w:val="24"/>
          <w:lang w:val="sq-AL"/>
        </w:rPr>
      </w:pPr>
    </w:p>
    <w:p w14:paraId="2F2E9770" w14:textId="77777777" w:rsidR="008F4CBE" w:rsidRPr="00DE3E0A" w:rsidRDefault="008F4CBE" w:rsidP="00222BFC">
      <w:pPr>
        <w:rPr>
          <w:rFonts w:cstheme="minorHAnsi"/>
          <w:sz w:val="24"/>
          <w:szCs w:val="24"/>
          <w:lang w:val="sq-AL"/>
        </w:rPr>
      </w:pPr>
    </w:p>
    <w:p w14:paraId="71C77AD4" w14:textId="77777777" w:rsidR="008F4CBE" w:rsidRPr="00DE3E0A" w:rsidRDefault="008F4CBE" w:rsidP="00222BFC">
      <w:pPr>
        <w:rPr>
          <w:rFonts w:cstheme="minorHAnsi"/>
          <w:sz w:val="24"/>
          <w:szCs w:val="24"/>
          <w:lang w:val="sq-AL"/>
        </w:rPr>
      </w:pPr>
    </w:p>
    <w:p w14:paraId="7F87A1D3" w14:textId="77777777" w:rsidR="00222BFC" w:rsidRPr="00DE3E0A" w:rsidRDefault="00222BFC" w:rsidP="00222BFC">
      <w:pPr>
        <w:rPr>
          <w:rFonts w:cstheme="minorHAnsi"/>
          <w:sz w:val="24"/>
          <w:szCs w:val="24"/>
          <w:lang w:val="sq-AL"/>
        </w:rPr>
      </w:pPr>
    </w:p>
    <w:p w14:paraId="5D8418AE" w14:textId="03CA3609" w:rsidR="002B75D1" w:rsidRPr="00DE3E0A" w:rsidRDefault="002B75D1" w:rsidP="00222BFC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III. Objektiva</w:t>
      </w:r>
    </w:p>
    <w:p w14:paraId="6A968A28" w14:textId="56248490" w:rsidR="00CD7253" w:rsidRPr="00DE3E0A" w:rsidRDefault="00CD7253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Syri i Vizionit kërkon të angazhojë një ekspert/e profesionist/e për hartimin e Strategjisë Trevjeçare të </w:t>
      </w:r>
      <w:proofErr w:type="spellStart"/>
      <w:r w:rsidRPr="00DE3E0A">
        <w:rPr>
          <w:rFonts w:cstheme="minorHAnsi"/>
          <w:sz w:val="24"/>
          <w:szCs w:val="24"/>
          <w:lang w:val="sq-AL"/>
        </w:rPr>
        <w:t>Avokimit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(2026–2028) për grupet e fëmijëve ROR dhe AKF-ve, kjo strategji do të përcaktojë objektivat e zhvillimit të kampanjave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vetëdijësuese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avokuese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të udhëhequra nga vetë fëmijët, duke fuqizuar mekanizmat dhe krijuar mundësi për pjesëmarrje aktive të fëmijëve në vendimmarrje në të gjitha aspektet që lidhen me interesin më të mirë të tyre </w:t>
      </w:r>
      <w:r w:rsidRPr="00DE3E0A">
        <w:rPr>
          <w:rFonts w:cstheme="minorHAnsi"/>
          <w:i/>
          <w:iCs/>
          <w:sz w:val="24"/>
          <w:szCs w:val="24"/>
          <w:lang w:val="sq-AL"/>
        </w:rPr>
        <w:t>(arsimin, shëndetin, mjedisin, proceset vendimmarrëse në nivel lokal dhe kombëtar, si dhe jetën sociale dhe rekreative</w:t>
      </w:r>
      <w:r w:rsidRPr="00DE3E0A">
        <w:rPr>
          <w:rFonts w:cstheme="minorHAnsi"/>
          <w:sz w:val="24"/>
          <w:szCs w:val="24"/>
          <w:lang w:val="sq-AL"/>
        </w:rPr>
        <w:t>). Fëmijët e ROR dhe AKV-ve, do të përcaktojnë aktivitetet dhe prioritetet e strategjisë, duke reflektuar nevojat dhe interesat e tyre konkrete.</w:t>
      </w:r>
    </w:p>
    <w:p w14:paraId="1BBE1F27" w14:textId="67134DA4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IV. Kualifikimi i nevojshëm:</w:t>
      </w:r>
    </w:p>
    <w:p w14:paraId="67BDE246" w14:textId="77777777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Diplomë universitare (kualifikimi </w:t>
      </w:r>
      <w:proofErr w:type="spellStart"/>
      <w:r w:rsidRPr="00DE3E0A">
        <w:rPr>
          <w:rFonts w:cstheme="minorHAnsi"/>
          <w:sz w:val="24"/>
          <w:szCs w:val="24"/>
          <w:lang w:val="sq-AL"/>
        </w:rPr>
        <w:t>Master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edukimi profesional/joformal në fushën e të drejtave të </w:t>
      </w:r>
      <w:proofErr w:type="spellStart"/>
      <w:r w:rsidRPr="00DE3E0A">
        <w:rPr>
          <w:rFonts w:cstheme="minorHAnsi"/>
          <w:sz w:val="24"/>
          <w:szCs w:val="24"/>
          <w:lang w:val="sq-AL"/>
        </w:rPr>
        <w:t>fëmijeve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,</w:t>
      </w:r>
      <w:proofErr w:type="spellStart"/>
      <w:r w:rsidRPr="00DE3E0A">
        <w:rPr>
          <w:rFonts w:cstheme="minorHAnsi"/>
          <w:sz w:val="24"/>
          <w:szCs w:val="24"/>
          <w:lang w:val="sq-AL"/>
        </w:rPr>
        <w:t>vendimarrje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komunikimit masiv/</w:t>
      </w:r>
      <w:proofErr w:type="spellStart"/>
      <w:r w:rsidRPr="00DE3E0A">
        <w:rPr>
          <w:rFonts w:cstheme="minorHAnsi"/>
          <w:sz w:val="24"/>
          <w:szCs w:val="24"/>
          <w:lang w:val="sq-AL"/>
        </w:rPr>
        <w:t>avokim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është përparësi);</w:t>
      </w:r>
    </w:p>
    <w:p w14:paraId="7A9E7FBA" w14:textId="77777777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Dokumentimi i përvojës së punës në hartimin e planeve të punës  dhe kampanjave  që kanë të bëjnë me të drejtat e fëmijëve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gjithëpërfshirjen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përfshirjen e tyre në </w:t>
      </w:r>
      <w:proofErr w:type="spellStart"/>
      <w:r w:rsidRPr="00DE3E0A">
        <w:rPr>
          <w:rFonts w:cstheme="minorHAnsi"/>
          <w:sz w:val="24"/>
          <w:szCs w:val="24"/>
          <w:lang w:val="sq-AL"/>
        </w:rPr>
        <w:t>vendimarrje</w:t>
      </w:r>
      <w:proofErr w:type="spellEnd"/>
      <w:r w:rsidRPr="00DE3E0A">
        <w:rPr>
          <w:rFonts w:cstheme="minorHAnsi"/>
          <w:sz w:val="24"/>
          <w:szCs w:val="24"/>
          <w:lang w:val="sq-AL"/>
        </w:rPr>
        <w:t>;</w:t>
      </w:r>
    </w:p>
    <w:p w14:paraId="2D96FCC8" w14:textId="77777777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Njohuri për parimet e të drejtave të fëmijëve të bazuara në KDF dhe KB;</w:t>
      </w:r>
    </w:p>
    <w:p w14:paraId="146C4207" w14:textId="0ED3435B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Njohuri mbi politikat zhvillimore </w:t>
      </w:r>
      <w:r w:rsidR="00CD7253" w:rsidRPr="00DE3E0A">
        <w:rPr>
          <w:rFonts w:cstheme="minorHAnsi"/>
          <w:sz w:val="24"/>
          <w:szCs w:val="24"/>
          <w:lang w:val="sq-AL"/>
        </w:rPr>
        <w:t xml:space="preserve">në nivel  lokal e </w:t>
      </w:r>
      <w:r w:rsidR="00DA4EFC" w:rsidRPr="00DE3E0A">
        <w:rPr>
          <w:rFonts w:cstheme="minorHAnsi"/>
          <w:sz w:val="24"/>
          <w:szCs w:val="24"/>
          <w:lang w:val="sq-AL"/>
        </w:rPr>
        <w:t>kombëtare qe ka të bëjë n</w:t>
      </w:r>
      <w:r w:rsidRPr="00DE3E0A">
        <w:rPr>
          <w:rFonts w:cstheme="minorHAnsi"/>
          <w:sz w:val="24"/>
          <w:szCs w:val="24"/>
          <w:lang w:val="sq-AL"/>
        </w:rPr>
        <w:t xml:space="preserve">ë </w:t>
      </w:r>
      <w:r w:rsidR="00CD7253" w:rsidRPr="00DE3E0A">
        <w:rPr>
          <w:rFonts w:cstheme="minorHAnsi"/>
          <w:sz w:val="24"/>
          <w:szCs w:val="24"/>
          <w:lang w:val="sq-AL"/>
        </w:rPr>
        <w:t>Arsim, Shënd</w:t>
      </w:r>
      <w:r w:rsidR="00DA4EFC" w:rsidRPr="00DE3E0A">
        <w:rPr>
          <w:rFonts w:cstheme="minorHAnsi"/>
          <w:sz w:val="24"/>
          <w:szCs w:val="24"/>
          <w:lang w:val="sq-AL"/>
        </w:rPr>
        <w:t xml:space="preserve">etësi, </w:t>
      </w:r>
      <w:r w:rsidRPr="00DE3E0A">
        <w:rPr>
          <w:rFonts w:cstheme="minorHAnsi"/>
          <w:sz w:val="24"/>
          <w:szCs w:val="24"/>
          <w:lang w:val="sq-AL"/>
        </w:rPr>
        <w:t>Mjedis</w:t>
      </w:r>
      <w:r w:rsidR="00DA4EFC" w:rsidRPr="00DE3E0A">
        <w:rPr>
          <w:rFonts w:cstheme="minorHAnsi"/>
          <w:sz w:val="24"/>
          <w:szCs w:val="24"/>
          <w:lang w:val="sq-AL"/>
        </w:rPr>
        <w:t xml:space="preserve"> jetën sociale e rekreative. </w:t>
      </w:r>
    </w:p>
    <w:p w14:paraId="182DB0F5" w14:textId="2BDBAE96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Njohuri mbi </w:t>
      </w:r>
      <w:proofErr w:type="spellStart"/>
      <w:r w:rsidRPr="00DE3E0A">
        <w:rPr>
          <w:rFonts w:cstheme="minorHAnsi"/>
          <w:sz w:val="24"/>
          <w:szCs w:val="24"/>
          <w:lang w:val="sq-AL"/>
        </w:rPr>
        <w:t>mekaanizmat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legjislacionin në fushën e mbrojtjes nga </w:t>
      </w:r>
      <w:r w:rsidR="00DA4EFC" w:rsidRPr="00DE3E0A">
        <w:rPr>
          <w:rFonts w:cstheme="minorHAnsi"/>
          <w:sz w:val="24"/>
          <w:szCs w:val="24"/>
          <w:lang w:val="sq-AL"/>
        </w:rPr>
        <w:t xml:space="preserve">diskriminimi dhe </w:t>
      </w:r>
      <w:proofErr w:type="spellStart"/>
      <w:r w:rsidR="00DA4EFC" w:rsidRPr="00DE3E0A">
        <w:rPr>
          <w:rFonts w:cstheme="minorHAnsi"/>
          <w:sz w:val="24"/>
          <w:szCs w:val="24"/>
          <w:lang w:val="sq-AL"/>
        </w:rPr>
        <w:t>gjithëpërfshirja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,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specifikisht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E3E0A">
        <w:rPr>
          <w:rFonts w:cstheme="minorHAnsi"/>
          <w:sz w:val="24"/>
          <w:szCs w:val="24"/>
          <w:lang w:val="sq-AL"/>
        </w:rPr>
        <w:t>mosdikriminimin</w:t>
      </w:r>
      <w:proofErr w:type="spellEnd"/>
      <w:r w:rsidR="00DA4EFC" w:rsidRPr="00DE3E0A">
        <w:rPr>
          <w:rFonts w:cstheme="minorHAnsi"/>
          <w:sz w:val="24"/>
          <w:szCs w:val="24"/>
          <w:lang w:val="sq-AL"/>
        </w:rPr>
        <w:t xml:space="preserve"> </w:t>
      </w:r>
      <w:r w:rsidRPr="00DE3E0A">
        <w:rPr>
          <w:rFonts w:cstheme="minorHAnsi"/>
          <w:sz w:val="24"/>
          <w:szCs w:val="24"/>
          <w:lang w:val="sq-AL"/>
        </w:rPr>
        <w:t>e fëmijëve</w:t>
      </w:r>
      <w:r w:rsidR="00DA4EFC" w:rsidRPr="00DE3E0A">
        <w:rPr>
          <w:rFonts w:cstheme="minorHAnsi"/>
          <w:sz w:val="24"/>
          <w:szCs w:val="24"/>
          <w:lang w:val="sq-AL"/>
        </w:rPr>
        <w:t xml:space="preserve"> me aftësi të kufizuar dhe </w:t>
      </w:r>
      <w:proofErr w:type="spellStart"/>
      <w:r w:rsidR="00DA4EFC" w:rsidRPr="00DE3E0A">
        <w:rPr>
          <w:rFonts w:cstheme="minorHAnsi"/>
          <w:sz w:val="24"/>
          <w:szCs w:val="24"/>
          <w:lang w:val="sq-AL"/>
        </w:rPr>
        <w:t>vazjave</w:t>
      </w:r>
      <w:proofErr w:type="spellEnd"/>
      <w:r w:rsidR="00DA4EFC" w:rsidRPr="00DE3E0A">
        <w:rPr>
          <w:rFonts w:cstheme="minorHAnsi"/>
          <w:sz w:val="24"/>
          <w:szCs w:val="24"/>
          <w:lang w:val="sq-AL"/>
        </w:rPr>
        <w:t xml:space="preserve"> apo fëmijëve nga gupet e </w:t>
      </w:r>
      <w:proofErr w:type="spellStart"/>
      <w:r w:rsidR="00DA4EFC" w:rsidRPr="00DE3E0A">
        <w:rPr>
          <w:rFonts w:cstheme="minorHAnsi"/>
          <w:sz w:val="24"/>
          <w:szCs w:val="24"/>
          <w:lang w:val="sq-AL"/>
        </w:rPr>
        <w:t>margjinalizuara</w:t>
      </w:r>
      <w:proofErr w:type="spellEnd"/>
      <w:r w:rsidRPr="00DE3E0A">
        <w:rPr>
          <w:rFonts w:cstheme="minorHAnsi"/>
          <w:sz w:val="24"/>
          <w:szCs w:val="24"/>
          <w:lang w:val="sq-AL"/>
        </w:rPr>
        <w:t>;</w:t>
      </w:r>
    </w:p>
    <w:p w14:paraId="2BEA5323" w14:textId="77777777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Shkathtësi të shkëlqyera analitike, udhëheqëse dhe shkathtësi në shkrim dhe komunikim miqësor më fëmijë;</w:t>
      </w:r>
    </w:p>
    <w:p w14:paraId="57843F07" w14:textId="77777777" w:rsidR="002B75D1" w:rsidRPr="00DE3E0A" w:rsidRDefault="002B75D1" w:rsidP="002B75D1">
      <w:pPr>
        <w:numPr>
          <w:ilvl w:val="0"/>
          <w:numId w:val="16"/>
        </w:numPr>
        <w:spacing w:after="200" w:line="276" w:lineRule="auto"/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Shkathtësi të mira në të shkruar dhe të folur të gjuhës shqipe dhe angleze.</w:t>
      </w:r>
      <w:r w:rsidRPr="00DE3E0A">
        <w:rPr>
          <w:rFonts w:cstheme="minorHAnsi"/>
          <w:b/>
          <w:sz w:val="24"/>
          <w:szCs w:val="24"/>
          <w:lang w:val="sq-AL"/>
        </w:rPr>
        <w:t xml:space="preserve"> </w:t>
      </w:r>
    </w:p>
    <w:p w14:paraId="0772DD2B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V. Detyrat dhe Përgjegjësitë:</w:t>
      </w:r>
    </w:p>
    <w:p w14:paraId="5C9B6421" w14:textId="77777777" w:rsidR="002B75D1" w:rsidRPr="00DE3E0A" w:rsidRDefault="002B75D1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Nga eksperti/ja  i/e angazhuar pritet:</w:t>
      </w:r>
    </w:p>
    <w:p w14:paraId="505D37F4" w14:textId="77777777" w:rsidR="002B75D1" w:rsidRPr="00DE3E0A" w:rsidRDefault="002B75D1" w:rsidP="002B75D1">
      <w:pPr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Përgatitja e planit të punës dhe metodologjisë, draft-agjendën dhe zhvillimi i materialeve të nevojshme për punëtorinë me fëmijë; </w:t>
      </w:r>
    </w:p>
    <w:p w14:paraId="2338700C" w14:textId="66530539" w:rsidR="002B75D1" w:rsidRPr="00DE3E0A" w:rsidRDefault="002B75D1" w:rsidP="002B75D1">
      <w:pPr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Udhëheqja e punëtorisë dyditore me fëmijët e grupit ROR, kryesine e AKF-ve, grupit dhe mentorët (si dhe përfaqësues nga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SCiK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) dhe hartimi i draftit të parë të </w:t>
      </w:r>
      <w:r w:rsidR="00DA4EFC" w:rsidRPr="00DE3E0A">
        <w:rPr>
          <w:rFonts w:cstheme="minorHAnsi"/>
          <w:sz w:val="24"/>
          <w:szCs w:val="24"/>
          <w:lang w:val="sq-AL"/>
        </w:rPr>
        <w:t>Strategjisë</w:t>
      </w:r>
      <w:r w:rsidRPr="00DE3E0A">
        <w:rPr>
          <w:rFonts w:cstheme="minorHAnsi"/>
          <w:sz w:val="24"/>
          <w:szCs w:val="24"/>
          <w:lang w:val="sq-AL"/>
        </w:rPr>
        <w:t xml:space="preserve"> tre vjeçar me rekomandimet dhe sugjerimet e pjesëmarrësve/fëmijëve;</w:t>
      </w:r>
    </w:p>
    <w:p w14:paraId="472F3F1F" w14:textId="77777777" w:rsidR="002B75D1" w:rsidRPr="00DE3E0A" w:rsidRDefault="002B75D1" w:rsidP="002B75D1">
      <w:pPr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lastRenderedPageBreak/>
        <w:t xml:space="preserve">Dorëzimi i draftit të parë të planit të punës tek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, jo më vonë se shtatë  (7) ditë pas mbajtjes së punëtorisë për rishikim nga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SCiK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si dhe mentorët e grupit;</w:t>
      </w:r>
    </w:p>
    <w:p w14:paraId="7A955C07" w14:textId="12F88DFE" w:rsidR="002B75D1" w:rsidRPr="00DE3E0A" w:rsidRDefault="002B75D1" w:rsidP="002B75D1">
      <w:pPr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Dorëzimi i dokumentit final/</w:t>
      </w:r>
      <w:r w:rsidR="00DA4EFC" w:rsidRPr="00DE3E0A">
        <w:rPr>
          <w:rFonts w:cstheme="minorHAnsi"/>
          <w:sz w:val="24"/>
          <w:szCs w:val="24"/>
          <w:lang w:val="sq-AL"/>
        </w:rPr>
        <w:t>Strategjisë</w:t>
      </w:r>
      <w:r w:rsidRPr="00DE3E0A">
        <w:rPr>
          <w:rFonts w:cstheme="minorHAnsi"/>
          <w:sz w:val="24"/>
          <w:szCs w:val="24"/>
          <w:lang w:val="sq-AL"/>
        </w:rPr>
        <w:t xml:space="preserve"> për aprovim tek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jo më vonë se tre (3) ditë pune pas pranimit të komenteve;</w:t>
      </w:r>
    </w:p>
    <w:p w14:paraId="4EF87B98" w14:textId="150B492F" w:rsidR="002B75D1" w:rsidRPr="00DE3E0A" w:rsidRDefault="002B75D1" w:rsidP="002B75D1">
      <w:pPr>
        <w:numPr>
          <w:ilvl w:val="0"/>
          <w:numId w:val="15"/>
        </w:numPr>
        <w:spacing w:after="200" w:line="276" w:lineRule="auto"/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Dorëzimi i raportit me shkrim</w:t>
      </w:r>
      <w:r w:rsidR="00DA4EFC" w:rsidRPr="00DE3E0A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="00DA4EFC" w:rsidRPr="00DE3E0A">
        <w:rPr>
          <w:rFonts w:cstheme="minorHAnsi"/>
          <w:sz w:val="24"/>
          <w:szCs w:val="24"/>
          <w:lang w:val="sq-AL"/>
        </w:rPr>
        <w:t>timesheet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tek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jo më vonë se pesë (5) ditë pune pasi të ketë dorëzuar dokumentin final/planin e punës të aprovuara nga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dhe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SCiK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.  </w:t>
      </w:r>
    </w:p>
    <w:p w14:paraId="2DAA4438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VI. Angazhimi i Ekspertit/</w:t>
      </w:r>
      <w:proofErr w:type="spellStart"/>
      <w:r w:rsidRPr="00DE3E0A">
        <w:rPr>
          <w:rFonts w:cstheme="minorHAnsi"/>
          <w:b/>
          <w:sz w:val="24"/>
          <w:szCs w:val="24"/>
          <w:lang w:val="sq-AL"/>
        </w:rPr>
        <w:t>es</w:t>
      </w:r>
      <w:proofErr w:type="spellEnd"/>
      <w:r w:rsidRPr="00DE3E0A">
        <w:rPr>
          <w:rFonts w:cstheme="minorHAnsi"/>
          <w:b/>
          <w:sz w:val="24"/>
          <w:szCs w:val="24"/>
          <w:lang w:val="sq-AL"/>
        </w:rPr>
        <w:t>:</w:t>
      </w:r>
    </w:p>
    <w:p w14:paraId="7807F58D" w14:textId="1C42E456" w:rsidR="002B75D1" w:rsidRPr="00DE3E0A" w:rsidDel="009E3774" w:rsidRDefault="002B75D1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Eksperti/ja do të angazhohet me anë të një kontrate për shërbim me Syri i Vizionit- nën koordinimin e Menaxherit të Financave dhe Administratës. Në këtë kontratë do të përcaktohen në mënyrë specifike pikat të cilat nuk janë të përfshira në këtë dokument. Angazhimi do të bëhet gjatë muajit </w:t>
      </w:r>
      <w:r w:rsidR="00DE3E0A">
        <w:rPr>
          <w:rFonts w:cstheme="minorHAnsi"/>
          <w:sz w:val="24"/>
          <w:szCs w:val="24"/>
          <w:lang w:val="sq-AL"/>
        </w:rPr>
        <w:t>dhjetor</w:t>
      </w:r>
      <w:r w:rsidRPr="00DE3E0A">
        <w:rPr>
          <w:rFonts w:cstheme="minorHAnsi"/>
          <w:sz w:val="24"/>
          <w:szCs w:val="24"/>
          <w:lang w:val="sq-AL"/>
        </w:rPr>
        <w:t xml:space="preserve"> në bazë ditore, ku do të përfshihen aktivitetet e mëposhtme: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6714"/>
        <w:gridCol w:w="2704"/>
      </w:tblGrid>
      <w:tr w:rsidR="002B75D1" w:rsidRPr="00DE3E0A" w14:paraId="48B3A783" w14:textId="77777777" w:rsidTr="00DE49AB">
        <w:trPr>
          <w:trHeight w:val="20"/>
        </w:trPr>
        <w:tc>
          <w:tcPr>
            <w:tcW w:w="6714" w:type="dxa"/>
            <w:shd w:val="clear" w:color="auto" w:fill="BFBFBF"/>
          </w:tcPr>
          <w:p w14:paraId="646420ED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b/>
                <w:b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b/>
                <w:bCs/>
                <w:sz w:val="20"/>
                <w:szCs w:val="20"/>
                <w:lang w:val="sq-AL" w:eastAsia="en-GB"/>
              </w:rPr>
              <w:t>Detyrat</w:t>
            </w:r>
          </w:p>
        </w:tc>
        <w:tc>
          <w:tcPr>
            <w:tcW w:w="2704" w:type="dxa"/>
            <w:shd w:val="clear" w:color="auto" w:fill="BFBFBF"/>
          </w:tcPr>
          <w:p w14:paraId="705003EE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b/>
                <w:b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b/>
                <w:bCs/>
                <w:sz w:val="20"/>
                <w:szCs w:val="20"/>
                <w:lang w:val="sq-AL" w:eastAsia="en-GB"/>
              </w:rPr>
              <w:t>Kohëzgjatja</w:t>
            </w:r>
          </w:p>
        </w:tc>
      </w:tr>
      <w:tr w:rsidR="002B75D1" w:rsidRPr="00DE3E0A" w14:paraId="259E50F0" w14:textId="77777777" w:rsidTr="00DE49AB">
        <w:trPr>
          <w:trHeight w:val="20"/>
        </w:trPr>
        <w:tc>
          <w:tcPr>
            <w:tcW w:w="6714" w:type="dxa"/>
          </w:tcPr>
          <w:p w14:paraId="2F2E35B7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Familjarizimi me punën, dokumentet dhe raportet e Grupit ROR  dhe AKF-të, përgatitja e metodologjisë së punës për punëtori (Metodologjia, agjenda dhe materialet tjera të nevojshme)</w:t>
            </w:r>
          </w:p>
        </w:tc>
        <w:tc>
          <w:tcPr>
            <w:tcW w:w="2704" w:type="dxa"/>
          </w:tcPr>
          <w:p w14:paraId="1ACF8141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sz w:val="20"/>
                <w:szCs w:val="20"/>
                <w:lang w:val="sq-AL" w:eastAsia="en-GB"/>
              </w:rPr>
              <w:t>1 ditë</w:t>
            </w:r>
          </w:p>
        </w:tc>
      </w:tr>
      <w:tr w:rsidR="002B75D1" w:rsidRPr="00DE3E0A" w14:paraId="68A577F8" w14:textId="77777777" w:rsidTr="00DE49AB">
        <w:trPr>
          <w:trHeight w:val="20"/>
        </w:trPr>
        <w:tc>
          <w:tcPr>
            <w:tcW w:w="6714" w:type="dxa"/>
          </w:tcPr>
          <w:p w14:paraId="4593D51D" w14:textId="7B73D0EF" w:rsidR="002B75D1" w:rsidRPr="00DE3E0A" w:rsidRDefault="002B75D1" w:rsidP="00DE49AB">
            <w:pPr>
              <w:spacing w:after="0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Mbajtja e punëtorisë për hartimin e </w:t>
            </w:r>
            <w:r w:rsidR="00DA4EFC"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Strategjisë me</w:t>
            </w: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 fëmijët e grupit ROR, AKF-të dhe mentorët</w:t>
            </w:r>
            <w:r w:rsidRPr="00DE3E0A">
              <w:rPr>
                <w:rFonts w:cstheme="minorHAnsi"/>
                <w:i/>
                <w:iCs/>
                <w:sz w:val="20"/>
                <w:szCs w:val="20"/>
                <w:lang w:val="sq-AL" w:eastAsia="en-GB"/>
              </w:rPr>
              <w:t xml:space="preserve">, </w:t>
            </w:r>
            <w:r w:rsidR="000E403C" w:rsidRPr="00DE3E0A">
              <w:rPr>
                <w:rFonts w:cstheme="minorHAnsi"/>
                <w:i/>
                <w:iCs/>
                <w:sz w:val="20"/>
                <w:szCs w:val="20"/>
                <w:lang w:val="sq-AL" w:eastAsia="en-GB"/>
              </w:rPr>
              <w:t>përcaktimi</w:t>
            </w:r>
            <w:r w:rsidRPr="00DE3E0A">
              <w:rPr>
                <w:rFonts w:cstheme="minorHAnsi"/>
                <w:i/>
                <w:iCs/>
                <w:sz w:val="20"/>
                <w:szCs w:val="20"/>
                <w:lang w:val="sq-AL" w:eastAsia="en-GB"/>
              </w:rPr>
              <w:t xml:space="preserve"> i objektivave dhe aktiviteteve të kampanjave </w:t>
            </w:r>
            <w:proofErr w:type="spellStart"/>
            <w:r w:rsidRPr="00DE3E0A">
              <w:rPr>
                <w:rFonts w:cstheme="minorHAnsi"/>
                <w:i/>
                <w:iCs/>
                <w:sz w:val="20"/>
                <w:szCs w:val="20"/>
                <w:lang w:val="sq-AL" w:eastAsia="en-GB"/>
              </w:rPr>
              <w:t>avokuese</w:t>
            </w:r>
            <w:proofErr w:type="spellEnd"/>
            <w:r w:rsidRPr="00DE3E0A">
              <w:rPr>
                <w:rFonts w:cstheme="minorHAnsi"/>
                <w:i/>
                <w:iCs/>
                <w:sz w:val="20"/>
                <w:szCs w:val="20"/>
                <w:lang w:val="sq-AL" w:eastAsia="en-GB"/>
              </w:rPr>
              <w:t xml:space="preserve"> </w:t>
            </w: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duke u bazuar në nevojat dhe propozimet qe dalin nga vetë </w:t>
            </w:r>
            <w:r w:rsidR="000E403C"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pjesëmarrësit</w:t>
            </w: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 si vijon: </w:t>
            </w:r>
          </w:p>
          <w:p w14:paraId="53638FC7" w14:textId="77777777" w:rsidR="002B75D1" w:rsidRPr="00DE3E0A" w:rsidRDefault="002B75D1" w:rsidP="002B75D1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 Qëllimi;</w:t>
            </w:r>
          </w:p>
          <w:p w14:paraId="2D8FA1C2" w14:textId="77777777" w:rsidR="002B75D1" w:rsidRPr="00DE3E0A" w:rsidRDefault="002B75D1" w:rsidP="002B75D1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Objektivat;</w:t>
            </w:r>
          </w:p>
          <w:p w14:paraId="7A3D487E" w14:textId="77777777" w:rsidR="002B75D1" w:rsidRPr="00DE3E0A" w:rsidRDefault="002B75D1" w:rsidP="002B75D1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Aktivitetet:</w:t>
            </w:r>
          </w:p>
          <w:p w14:paraId="1C1312BF" w14:textId="77777777" w:rsidR="002B75D1" w:rsidRPr="00DE3E0A" w:rsidRDefault="002B75D1" w:rsidP="002B75D1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Rezultatet e pritura;</w:t>
            </w:r>
          </w:p>
          <w:p w14:paraId="22C2DE5D" w14:textId="77777777" w:rsidR="002B75D1" w:rsidRPr="00DE3E0A" w:rsidRDefault="002B75D1" w:rsidP="002B75D1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Indikatorët</w:t>
            </w:r>
          </w:p>
          <w:p w14:paraId="28D9595F" w14:textId="59A2686C" w:rsidR="002B75D1" w:rsidRPr="00DE3E0A" w:rsidRDefault="002B75D1" w:rsidP="002B75D1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sz w:val="20"/>
                <w:szCs w:val="20"/>
                <w:lang w:val="sq-AL" w:eastAsia="en-GB"/>
              </w:rPr>
              <w:t xml:space="preserve">Monitorimi dhe </w:t>
            </w:r>
            <w:r w:rsidR="00387FE2" w:rsidRPr="00DE3E0A">
              <w:rPr>
                <w:rFonts w:cstheme="minorHAnsi"/>
                <w:sz w:val="20"/>
                <w:szCs w:val="20"/>
                <w:lang w:val="sq-AL" w:eastAsia="en-GB"/>
              </w:rPr>
              <w:t>vlerësimi</w:t>
            </w:r>
            <w:r w:rsidRPr="00DE3E0A">
              <w:rPr>
                <w:rFonts w:cstheme="minorHAnsi"/>
                <w:sz w:val="20"/>
                <w:szCs w:val="20"/>
                <w:lang w:val="sq-AL" w:eastAsia="en-GB"/>
              </w:rPr>
              <w:t xml:space="preserve"> i </w:t>
            </w:r>
            <w:r w:rsidR="00387FE2">
              <w:rPr>
                <w:rFonts w:cstheme="minorHAnsi"/>
                <w:sz w:val="20"/>
                <w:szCs w:val="20"/>
                <w:lang w:val="sq-AL" w:eastAsia="en-GB"/>
              </w:rPr>
              <w:t>Strategjisë</w:t>
            </w:r>
          </w:p>
        </w:tc>
        <w:tc>
          <w:tcPr>
            <w:tcW w:w="2704" w:type="dxa"/>
          </w:tcPr>
          <w:p w14:paraId="35466535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sz w:val="20"/>
                <w:szCs w:val="20"/>
                <w:lang w:val="sq-AL" w:eastAsia="en-GB"/>
              </w:rPr>
              <w:t>2 ditë</w:t>
            </w:r>
          </w:p>
        </w:tc>
      </w:tr>
      <w:tr w:rsidR="002B75D1" w:rsidRPr="00DE3E0A" w14:paraId="06CE0100" w14:textId="77777777" w:rsidTr="00DE49AB">
        <w:trPr>
          <w:trHeight w:val="20"/>
        </w:trPr>
        <w:tc>
          <w:tcPr>
            <w:tcW w:w="6714" w:type="dxa"/>
          </w:tcPr>
          <w:p w14:paraId="2EF85D81" w14:textId="097EFED9" w:rsidR="002B75D1" w:rsidRPr="00DE3E0A" w:rsidRDefault="002B75D1" w:rsidP="00DE49AB">
            <w:pPr>
              <w:spacing w:after="0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Hartimi dhe finalizimi i </w:t>
            </w:r>
            <w:r w:rsidR="00DA4EFC"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Strategjisë</w:t>
            </w: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 xml:space="preserve"> </w:t>
            </w:r>
          </w:p>
          <w:p w14:paraId="0927F3BC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</w:p>
        </w:tc>
        <w:tc>
          <w:tcPr>
            <w:tcW w:w="2704" w:type="dxa"/>
          </w:tcPr>
          <w:p w14:paraId="5CBE2CEA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sz w:val="20"/>
                <w:szCs w:val="20"/>
                <w:lang w:val="sq-AL" w:eastAsia="en-GB"/>
              </w:rPr>
              <w:t>1/2 ditë</w:t>
            </w:r>
          </w:p>
        </w:tc>
      </w:tr>
      <w:tr w:rsidR="002B75D1" w:rsidRPr="00DE3E0A" w14:paraId="44709C9B" w14:textId="77777777" w:rsidTr="00DE49AB">
        <w:trPr>
          <w:trHeight w:val="20"/>
        </w:trPr>
        <w:tc>
          <w:tcPr>
            <w:tcW w:w="6714" w:type="dxa"/>
          </w:tcPr>
          <w:p w14:paraId="2809175F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iCs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iCs/>
                <w:sz w:val="20"/>
                <w:szCs w:val="20"/>
                <w:lang w:val="sq-AL" w:eastAsia="en-GB"/>
              </w:rPr>
              <w:t>Përgatitja dhe dorëzimi i raportit narrativ</w:t>
            </w:r>
          </w:p>
        </w:tc>
        <w:tc>
          <w:tcPr>
            <w:tcW w:w="2704" w:type="dxa"/>
          </w:tcPr>
          <w:p w14:paraId="7FD25E17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sz w:val="20"/>
                <w:szCs w:val="20"/>
                <w:lang w:val="sq-AL" w:eastAsia="en-GB"/>
              </w:rPr>
              <w:t>1/2 ditë</w:t>
            </w:r>
          </w:p>
        </w:tc>
      </w:tr>
      <w:tr w:rsidR="002B75D1" w:rsidRPr="00DE3E0A" w14:paraId="35CC433C" w14:textId="77777777" w:rsidTr="00DE49AB">
        <w:trPr>
          <w:trHeight w:val="20"/>
        </w:trPr>
        <w:tc>
          <w:tcPr>
            <w:tcW w:w="6714" w:type="dxa"/>
          </w:tcPr>
          <w:p w14:paraId="2F34B0B7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b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b/>
                <w:sz w:val="20"/>
                <w:szCs w:val="20"/>
                <w:lang w:val="sq-AL" w:eastAsia="en-GB"/>
              </w:rPr>
              <w:t>Gjithsej:</w:t>
            </w:r>
          </w:p>
        </w:tc>
        <w:tc>
          <w:tcPr>
            <w:tcW w:w="2704" w:type="dxa"/>
          </w:tcPr>
          <w:p w14:paraId="136C1E1F" w14:textId="77777777" w:rsidR="002B75D1" w:rsidRPr="00DE3E0A" w:rsidRDefault="002B75D1" w:rsidP="00DE49AB">
            <w:pPr>
              <w:spacing w:after="0"/>
              <w:contextualSpacing/>
              <w:rPr>
                <w:rFonts w:cstheme="minorHAnsi"/>
                <w:b/>
                <w:sz w:val="20"/>
                <w:szCs w:val="20"/>
                <w:lang w:val="sq-AL" w:eastAsia="en-GB"/>
              </w:rPr>
            </w:pPr>
            <w:r w:rsidRPr="00DE3E0A">
              <w:rPr>
                <w:rFonts w:cstheme="minorHAnsi"/>
                <w:b/>
                <w:sz w:val="20"/>
                <w:szCs w:val="20"/>
                <w:lang w:val="sq-AL" w:eastAsia="en-GB"/>
              </w:rPr>
              <w:t>4 ditë</w:t>
            </w:r>
          </w:p>
        </w:tc>
      </w:tr>
    </w:tbl>
    <w:p w14:paraId="783C2292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</w:p>
    <w:p w14:paraId="360729B6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b/>
          <w:sz w:val="24"/>
          <w:szCs w:val="24"/>
          <w:lang w:val="sq-AL"/>
        </w:rPr>
        <w:t>VII. Kushtet e Pagesës:</w:t>
      </w:r>
    </w:p>
    <w:p w14:paraId="4BD7E988" w14:textId="77777777" w:rsidR="002B75D1" w:rsidRPr="00DE3E0A" w:rsidRDefault="002B75D1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Pagesa e ekspertit/</w:t>
      </w:r>
      <w:proofErr w:type="spellStart"/>
      <w:r w:rsidRPr="00DE3E0A">
        <w:rPr>
          <w:rFonts w:cstheme="minorHAnsi"/>
          <w:sz w:val="24"/>
          <w:szCs w:val="24"/>
          <w:lang w:val="sq-AL"/>
        </w:rPr>
        <w:t>es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do të bëhet sipas faturës përkatëse për kryerjen e shërbimeve, që do të </w:t>
      </w:r>
      <w:proofErr w:type="spellStart"/>
      <w:r w:rsidRPr="00DE3E0A">
        <w:rPr>
          <w:rFonts w:cstheme="minorHAnsi"/>
          <w:sz w:val="24"/>
          <w:szCs w:val="24"/>
          <w:lang w:val="sq-AL"/>
        </w:rPr>
        <w:t>leshohet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nga ai/ajo, ose do të përgatitet nga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e do nënshkruhet nga Eksperti/ja. Pagesa do të realizohet përmes  transaksionit bankar në valutën Euro.  Pagesa do të bëhet pas përfundimit me sukses të punëtorisë dhe dorëzimit të </w:t>
      </w:r>
      <w:proofErr w:type="spellStart"/>
      <w:r w:rsidRPr="00DE3E0A">
        <w:rPr>
          <w:rFonts w:cstheme="minorHAnsi"/>
          <w:sz w:val="24"/>
          <w:szCs w:val="24"/>
          <w:lang w:val="sq-AL"/>
        </w:rPr>
        <w:t>dokumenit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final/Strategjisë dhe raportit narrativ të aprovuar nga </w:t>
      </w:r>
      <w:proofErr w:type="spellStart"/>
      <w:r w:rsidRPr="00DE3E0A">
        <w:rPr>
          <w:rFonts w:cstheme="minorHAnsi"/>
          <w:sz w:val="24"/>
          <w:szCs w:val="24"/>
          <w:lang w:val="sq-AL"/>
        </w:rPr>
        <w:t>SiV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.  </w:t>
      </w:r>
    </w:p>
    <w:p w14:paraId="3526EC03" w14:textId="77777777" w:rsidR="002B75D1" w:rsidRPr="00DE3E0A" w:rsidRDefault="002B75D1" w:rsidP="002B75D1">
      <w:pPr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lastRenderedPageBreak/>
        <w:t>Në bazë të ligjit të Kosovës, Syri i Vizionit është po ashtu i obliguar që të paguajë tatimin (taksa dhe Pension) prej 10% të shumës bruto. Shpenzimet e ushqimit gjatë punëtorisë do t’i mbulojë organizatori.</w:t>
      </w:r>
    </w:p>
    <w:p w14:paraId="3138EE41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</w:p>
    <w:p w14:paraId="7019122C" w14:textId="77777777" w:rsidR="002B75D1" w:rsidRPr="00DE3E0A" w:rsidRDefault="002B75D1" w:rsidP="002B75D1">
      <w:pPr>
        <w:rPr>
          <w:rFonts w:cstheme="minorHAnsi"/>
          <w:b/>
          <w:iCs/>
          <w:sz w:val="24"/>
          <w:szCs w:val="24"/>
          <w:lang w:val="sq-AL" w:eastAsia="en-GB"/>
        </w:rPr>
      </w:pPr>
      <w:r w:rsidRPr="00DE3E0A">
        <w:rPr>
          <w:rFonts w:cstheme="minorHAnsi"/>
          <w:b/>
          <w:sz w:val="24"/>
          <w:szCs w:val="24"/>
          <w:lang w:val="sq-AL"/>
        </w:rPr>
        <w:t xml:space="preserve">VIII. </w:t>
      </w:r>
      <w:r w:rsidRPr="00DE3E0A">
        <w:rPr>
          <w:rFonts w:cstheme="minorHAnsi"/>
          <w:b/>
          <w:iCs/>
          <w:sz w:val="24"/>
          <w:szCs w:val="24"/>
          <w:lang w:val="sq-AL" w:eastAsia="en-GB"/>
        </w:rPr>
        <w:t>Dokumentet e kërkuara dhe procedura për aplikim:</w:t>
      </w:r>
    </w:p>
    <w:p w14:paraId="0CDB04AB" w14:textId="0948089B" w:rsidR="002B75D1" w:rsidRPr="00DE3E0A" w:rsidRDefault="002B75D1" w:rsidP="002B75D1">
      <w:pPr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Metodologjinë e punës për këtë angazhim, përfshirë planifikimin e mbajtjes së punëtorisë dhe hartimin e </w:t>
      </w:r>
      <w:r w:rsidR="00DA4EFC" w:rsidRPr="00DE3E0A">
        <w:rPr>
          <w:rFonts w:cstheme="minorHAnsi"/>
          <w:sz w:val="24"/>
          <w:szCs w:val="24"/>
          <w:lang w:val="sq-AL"/>
        </w:rPr>
        <w:t>strategjisë tri vjeçare</w:t>
      </w:r>
      <w:r w:rsidRPr="00DE3E0A">
        <w:rPr>
          <w:rFonts w:cstheme="minorHAnsi"/>
          <w:sz w:val="24"/>
          <w:szCs w:val="24"/>
          <w:lang w:val="sq-AL"/>
        </w:rPr>
        <w:t xml:space="preserve"> (202</w:t>
      </w:r>
      <w:r w:rsidR="00DA4EFC" w:rsidRPr="00DE3E0A">
        <w:rPr>
          <w:rFonts w:cstheme="minorHAnsi"/>
          <w:sz w:val="24"/>
          <w:szCs w:val="24"/>
          <w:lang w:val="sq-AL"/>
        </w:rPr>
        <w:t>6</w:t>
      </w:r>
      <w:r w:rsidRPr="00DE3E0A">
        <w:rPr>
          <w:rFonts w:cstheme="minorHAnsi"/>
          <w:sz w:val="24"/>
          <w:szCs w:val="24"/>
          <w:lang w:val="sq-AL"/>
        </w:rPr>
        <w:t>-202</w:t>
      </w:r>
      <w:r w:rsidR="00DA4EFC" w:rsidRPr="00DE3E0A">
        <w:rPr>
          <w:rFonts w:cstheme="minorHAnsi"/>
          <w:sz w:val="24"/>
          <w:szCs w:val="24"/>
          <w:lang w:val="sq-AL"/>
        </w:rPr>
        <w:t>8</w:t>
      </w:r>
      <w:r w:rsidRPr="00DE3E0A">
        <w:rPr>
          <w:rFonts w:cstheme="minorHAnsi"/>
          <w:sz w:val="24"/>
          <w:szCs w:val="24"/>
          <w:lang w:val="sq-AL"/>
        </w:rPr>
        <w:t xml:space="preserve">);  </w:t>
      </w:r>
    </w:p>
    <w:p w14:paraId="494ED023" w14:textId="1A3C0DB1" w:rsidR="002B75D1" w:rsidRPr="00DE3E0A" w:rsidRDefault="00DE3E0A" w:rsidP="002B75D1">
      <w:pPr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Një</w:t>
      </w:r>
      <w:r w:rsidR="002B75D1" w:rsidRPr="00DE3E0A">
        <w:rPr>
          <w:rFonts w:cstheme="minorHAnsi"/>
          <w:sz w:val="24"/>
          <w:szCs w:val="24"/>
          <w:lang w:val="sq-AL"/>
        </w:rPr>
        <w:t xml:space="preserve"> letër interesi që paraqet arsyet që ai/ajo është i/e përshtatshëm dhe ka njohuri dhe eksperiencë në këto fusha apo fusha të ngjashme;</w:t>
      </w:r>
    </w:p>
    <w:p w14:paraId="6F93BB82" w14:textId="12125697" w:rsidR="002B75D1" w:rsidRPr="00DE3E0A" w:rsidRDefault="002B75D1" w:rsidP="002B75D1">
      <w:pPr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Diplomë Universitare qe </w:t>
      </w:r>
      <w:r w:rsidR="00DE3E0A" w:rsidRPr="00DE3E0A">
        <w:rPr>
          <w:rFonts w:cstheme="minorHAnsi"/>
          <w:sz w:val="24"/>
          <w:szCs w:val="24"/>
          <w:lang w:val="sq-AL"/>
        </w:rPr>
        <w:t>dëshmon</w:t>
      </w:r>
      <w:r w:rsidRPr="00DE3E0A">
        <w:rPr>
          <w:rFonts w:cstheme="minorHAnsi"/>
          <w:sz w:val="24"/>
          <w:szCs w:val="24"/>
          <w:lang w:val="sq-AL"/>
        </w:rPr>
        <w:t xml:space="preserve"> kualifikimin e tij/saj; </w:t>
      </w:r>
    </w:p>
    <w:p w14:paraId="118D608B" w14:textId="77777777" w:rsidR="002B75D1" w:rsidRPr="00DE3E0A" w:rsidRDefault="002B75D1" w:rsidP="002B75D1">
      <w:pPr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proofErr w:type="spellStart"/>
      <w:r w:rsidRPr="00DE3E0A">
        <w:rPr>
          <w:rFonts w:cstheme="minorHAnsi"/>
          <w:sz w:val="24"/>
          <w:szCs w:val="24"/>
          <w:lang w:val="sq-AL"/>
        </w:rPr>
        <w:t>Curriculum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DE3E0A">
        <w:rPr>
          <w:rFonts w:cstheme="minorHAnsi"/>
          <w:sz w:val="24"/>
          <w:szCs w:val="24"/>
          <w:lang w:val="sq-AL"/>
        </w:rPr>
        <w:t>Vitae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(CV);</w:t>
      </w:r>
    </w:p>
    <w:p w14:paraId="77BD60C7" w14:textId="77777777" w:rsidR="002B75D1" w:rsidRPr="00DE3E0A" w:rsidRDefault="002B75D1" w:rsidP="002B75D1">
      <w:pPr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 xml:space="preserve">Propozimi financiar* </w:t>
      </w:r>
    </w:p>
    <w:p w14:paraId="3736998C" w14:textId="4054058F" w:rsidR="002B75D1" w:rsidRPr="00DE3E0A" w:rsidRDefault="002B75D1" w:rsidP="002B75D1">
      <w:pPr>
        <w:ind w:left="720"/>
        <w:rPr>
          <w:rFonts w:cstheme="minorHAnsi"/>
          <w:iCs/>
          <w:sz w:val="24"/>
          <w:szCs w:val="24"/>
          <w:lang w:val="sq-AL" w:eastAsia="en-GB"/>
        </w:rPr>
      </w:pPr>
      <w:r w:rsidRPr="00DE3E0A">
        <w:rPr>
          <w:rFonts w:cstheme="minorHAnsi"/>
          <w:i/>
          <w:sz w:val="24"/>
          <w:szCs w:val="24"/>
          <w:lang w:val="sq-AL"/>
        </w:rPr>
        <w:t xml:space="preserve">*Oferta  financiare duhet të jetë e hollësishme për secilën punë që do të realizohet, duke përfshirë, zhvillimin e </w:t>
      </w:r>
      <w:r w:rsidR="00DE3E0A">
        <w:rPr>
          <w:rFonts w:cstheme="minorHAnsi"/>
          <w:i/>
          <w:sz w:val="24"/>
          <w:szCs w:val="24"/>
          <w:lang w:val="sq-AL"/>
        </w:rPr>
        <w:t>strategjisë</w:t>
      </w:r>
      <w:r w:rsidRPr="00DE3E0A">
        <w:rPr>
          <w:rFonts w:cstheme="minorHAnsi"/>
          <w:i/>
          <w:sz w:val="24"/>
          <w:szCs w:val="24"/>
          <w:lang w:val="sq-AL"/>
        </w:rPr>
        <w:t xml:space="preserve"> dhe materialet e</w:t>
      </w:r>
      <w:r w:rsidR="00DE3E0A">
        <w:rPr>
          <w:rFonts w:cstheme="minorHAnsi"/>
          <w:i/>
          <w:sz w:val="24"/>
          <w:szCs w:val="24"/>
          <w:lang w:val="sq-AL"/>
        </w:rPr>
        <w:t xml:space="preserve"> punëtorisë</w:t>
      </w:r>
      <w:r w:rsidRPr="00DE3E0A">
        <w:rPr>
          <w:rFonts w:cstheme="minorHAnsi"/>
          <w:i/>
          <w:sz w:val="24"/>
          <w:szCs w:val="24"/>
          <w:lang w:val="sq-AL"/>
        </w:rPr>
        <w:t xml:space="preserve">, mbajtjen e </w:t>
      </w:r>
      <w:r w:rsidR="00DE3E0A">
        <w:rPr>
          <w:rFonts w:cstheme="minorHAnsi"/>
          <w:i/>
          <w:sz w:val="24"/>
          <w:szCs w:val="24"/>
          <w:lang w:val="sq-AL"/>
        </w:rPr>
        <w:t>punëtorisë</w:t>
      </w:r>
      <w:r w:rsidRPr="00DE3E0A">
        <w:rPr>
          <w:rFonts w:cstheme="minorHAnsi"/>
          <w:i/>
          <w:sz w:val="24"/>
          <w:szCs w:val="24"/>
          <w:lang w:val="sq-AL"/>
        </w:rPr>
        <w:t xml:space="preserve"> dhe shkrimin e raportit.</w:t>
      </w:r>
      <w:r w:rsidR="00DE3E0A">
        <w:rPr>
          <w:rFonts w:cstheme="minorHAnsi"/>
          <w:i/>
          <w:sz w:val="24"/>
          <w:szCs w:val="24"/>
          <w:lang w:val="sq-AL"/>
        </w:rPr>
        <w:t xml:space="preserve"> Çdo shpenzim shtesë nuk do merret parasysh.</w:t>
      </w:r>
    </w:p>
    <w:p w14:paraId="44AD4F06" w14:textId="6F30EF65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  <w:r w:rsidRPr="00DE3E0A">
        <w:rPr>
          <w:rFonts w:cstheme="minorHAnsi"/>
          <w:sz w:val="24"/>
          <w:szCs w:val="24"/>
          <w:lang w:val="sq-AL"/>
        </w:rPr>
        <w:t>Aplikacionet duhet të dorëzohen në formë elektronike në e-</w:t>
      </w:r>
      <w:proofErr w:type="spellStart"/>
      <w:r w:rsidRPr="00DE3E0A">
        <w:rPr>
          <w:rFonts w:cstheme="minorHAnsi"/>
          <w:sz w:val="24"/>
          <w:szCs w:val="24"/>
          <w:lang w:val="sq-AL"/>
        </w:rPr>
        <w:t>mail</w:t>
      </w:r>
      <w:proofErr w:type="spellEnd"/>
      <w:r w:rsidRPr="00DE3E0A">
        <w:rPr>
          <w:rFonts w:cstheme="minorHAnsi"/>
          <w:sz w:val="24"/>
          <w:szCs w:val="24"/>
          <w:lang w:val="sq-AL"/>
        </w:rPr>
        <w:t xml:space="preserve"> adresën: office@syriivizionit.org ose info@syriivizionit.org me subjektin:</w:t>
      </w:r>
      <w:r w:rsidRPr="00DE3E0A">
        <w:rPr>
          <w:rFonts w:cstheme="minorHAnsi"/>
          <w:i/>
          <w:iCs/>
          <w:sz w:val="24"/>
          <w:szCs w:val="24"/>
          <w:lang w:val="sq-AL"/>
        </w:rPr>
        <w:t xml:space="preserve">  Aplikacioni për </w:t>
      </w:r>
      <w:r w:rsidR="00DA4EFC" w:rsidRPr="00DE3E0A">
        <w:rPr>
          <w:rFonts w:cstheme="minorHAnsi"/>
          <w:i/>
          <w:iCs/>
          <w:sz w:val="24"/>
          <w:szCs w:val="24"/>
          <w:lang w:val="sq-AL"/>
        </w:rPr>
        <w:t xml:space="preserve">Hartimin e Strategjisë Trevjeçare të </w:t>
      </w:r>
      <w:proofErr w:type="spellStart"/>
      <w:r w:rsidR="00DA4EFC" w:rsidRPr="00DE3E0A">
        <w:rPr>
          <w:rFonts w:cstheme="minorHAnsi"/>
          <w:i/>
          <w:iCs/>
          <w:sz w:val="24"/>
          <w:szCs w:val="24"/>
          <w:lang w:val="sq-AL"/>
        </w:rPr>
        <w:t>Avokimit</w:t>
      </w:r>
      <w:proofErr w:type="spellEnd"/>
      <w:r w:rsidRPr="00DE3E0A">
        <w:rPr>
          <w:rFonts w:cstheme="minorHAnsi"/>
          <w:i/>
          <w:iCs/>
          <w:sz w:val="24"/>
          <w:szCs w:val="24"/>
          <w:lang w:val="sq-AL"/>
        </w:rPr>
        <w:t>.</w:t>
      </w:r>
      <w:r w:rsidRPr="00DE3E0A">
        <w:rPr>
          <w:rFonts w:cstheme="minorHAnsi"/>
          <w:sz w:val="24"/>
          <w:szCs w:val="24"/>
          <w:lang w:val="sq-AL"/>
        </w:rPr>
        <w:t xml:space="preserve"> </w:t>
      </w:r>
      <w:r w:rsidRPr="00DE3E0A">
        <w:rPr>
          <w:rFonts w:cstheme="minorHAnsi"/>
          <w:b/>
          <w:sz w:val="24"/>
          <w:szCs w:val="24"/>
          <w:lang w:val="sq-AL"/>
        </w:rPr>
        <w:t xml:space="preserve">Afati i fundit për dorëzimin e aplikacionit është </w:t>
      </w:r>
      <w:r w:rsidR="00B025DC">
        <w:rPr>
          <w:rFonts w:cstheme="minorHAnsi"/>
          <w:b/>
          <w:sz w:val="24"/>
          <w:szCs w:val="24"/>
          <w:lang w:val="sq-AL"/>
        </w:rPr>
        <w:t>23 janar 2026</w:t>
      </w:r>
      <w:r w:rsidRPr="00DE3E0A">
        <w:rPr>
          <w:rFonts w:cstheme="minorHAnsi"/>
          <w:b/>
          <w:sz w:val="24"/>
          <w:szCs w:val="24"/>
          <w:lang w:val="sq-AL"/>
        </w:rPr>
        <w:t xml:space="preserve"> ora 1</w:t>
      </w:r>
      <w:r w:rsidR="00DA4EFC" w:rsidRPr="00DE3E0A">
        <w:rPr>
          <w:rFonts w:cstheme="minorHAnsi"/>
          <w:b/>
          <w:sz w:val="24"/>
          <w:szCs w:val="24"/>
          <w:lang w:val="sq-AL"/>
        </w:rPr>
        <w:t>6</w:t>
      </w:r>
      <w:r w:rsidRPr="00DE3E0A">
        <w:rPr>
          <w:rFonts w:cstheme="minorHAnsi"/>
          <w:b/>
          <w:sz w:val="24"/>
          <w:szCs w:val="24"/>
          <w:lang w:val="sq-AL"/>
        </w:rPr>
        <w:t xml:space="preserve">:00. </w:t>
      </w:r>
    </w:p>
    <w:p w14:paraId="47BD77BD" w14:textId="77777777" w:rsidR="002B75D1" w:rsidRPr="00DE3E0A" w:rsidRDefault="002B75D1" w:rsidP="002B75D1">
      <w:pPr>
        <w:rPr>
          <w:rFonts w:cstheme="minorHAnsi"/>
          <w:b/>
          <w:sz w:val="24"/>
          <w:szCs w:val="24"/>
          <w:lang w:val="sq-AL"/>
        </w:rPr>
      </w:pPr>
    </w:p>
    <w:p w14:paraId="4AA77057" w14:textId="77777777" w:rsidR="002B75D1" w:rsidRPr="00DE3E0A" w:rsidRDefault="002B75D1" w:rsidP="002B75D1">
      <w:pPr>
        <w:rPr>
          <w:rFonts w:cstheme="minorHAnsi"/>
          <w:sz w:val="24"/>
          <w:szCs w:val="24"/>
          <w:lang w:val="sq-AL"/>
        </w:rPr>
      </w:pPr>
    </w:p>
    <w:p w14:paraId="148D9BEA" w14:textId="77777777" w:rsidR="002B75D1" w:rsidRPr="00DE3E0A" w:rsidRDefault="002B75D1" w:rsidP="002B75D1">
      <w:pPr>
        <w:jc w:val="center"/>
        <w:rPr>
          <w:rFonts w:cstheme="minorHAnsi"/>
          <w:b/>
          <w:i/>
          <w:sz w:val="24"/>
          <w:szCs w:val="24"/>
          <w:lang w:val="sq-AL"/>
        </w:rPr>
      </w:pPr>
      <w:r w:rsidRPr="00DE3E0A">
        <w:rPr>
          <w:rFonts w:cstheme="minorHAnsi"/>
          <w:b/>
          <w:i/>
          <w:sz w:val="24"/>
          <w:szCs w:val="24"/>
          <w:lang w:val="sq-AL"/>
        </w:rPr>
        <w:t>Vetëm kandidatët e suksesshëm do të kontaktohen!</w:t>
      </w:r>
    </w:p>
    <w:p w14:paraId="7CCFA5D1" w14:textId="451949A6" w:rsidR="009A2924" w:rsidRPr="00DE3E0A" w:rsidRDefault="009A2924" w:rsidP="00F65C07">
      <w:pPr>
        <w:jc w:val="both"/>
        <w:rPr>
          <w:rFonts w:cstheme="minorHAnsi"/>
          <w:sz w:val="24"/>
          <w:szCs w:val="24"/>
        </w:rPr>
      </w:pPr>
    </w:p>
    <w:p w14:paraId="762B2F8E" w14:textId="71CC5B03" w:rsidR="009A2924" w:rsidRPr="00DE3E0A" w:rsidRDefault="009A2924" w:rsidP="00F65C07">
      <w:pPr>
        <w:jc w:val="both"/>
        <w:rPr>
          <w:rFonts w:cstheme="minorHAnsi"/>
          <w:sz w:val="24"/>
          <w:szCs w:val="24"/>
        </w:rPr>
      </w:pPr>
    </w:p>
    <w:p w14:paraId="47CC68D1" w14:textId="07DDF4F8" w:rsidR="009A2924" w:rsidRPr="00DE3E0A" w:rsidRDefault="009A2924" w:rsidP="00F65C07">
      <w:pPr>
        <w:jc w:val="both"/>
        <w:rPr>
          <w:rFonts w:cstheme="minorHAnsi"/>
          <w:sz w:val="24"/>
          <w:szCs w:val="24"/>
        </w:rPr>
      </w:pPr>
    </w:p>
    <w:p w14:paraId="690B75CE" w14:textId="77B34403" w:rsidR="009A2924" w:rsidRPr="00DE3E0A" w:rsidRDefault="009A2924" w:rsidP="00F65C07">
      <w:pPr>
        <w:jc w:val="both"/>
        <w:rPr>
          <w:rFonts w:cstheme="minorHAnsi"/>
          <w:sz w:val="24"/>
          <w:szCs w:val="24"/>
        </w:rPr>
      </w:pPr>
    </w:p>
    <w:p w14:paraId="6828F97D" w14:textId="77777777" w:rsidR="009A2924" w:rsidRPr="00DE3E0A" w:rsidRDefault="009A2924" w:rsidP="00983644">
      <w:pPr>
        <w:pStyle w:val="ListParagraph"/>
        <w:jc w:val="both"/>
        <w:rPr>
          <w:rFonts w:cstheme="minorHAnsi"/>
          <w:sz w:val="24"/>
          <w:szCs w:val="24"/>
        </w:rPr>
      </w:pPr>
    </w:p>
    <w:sectPr w:rsidR="009A2924" w:rsidRPr="00DE3E0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9C49" w14:textId="77777777" w:rsidR="000E505F" w:rsidRDefault="000E505F" w:rsidP="00D70E34">
      <w:pPr>
        <w:spacing w:after="0" w:line="240" w:lineRule="auto"/>
      </w:pPr>
      <w:r>
        <w:separator/>
      </w:r>
    </w:p>
  </w:endnote>
  <w:endnote w:type="continuationSeparator" w:id="0">
    <w:p w14:paraId="409F53EC" w14:textId="77777777" w:rsidR="000E505F" w:rsidRDefault="000E505F" w:rsidP="00D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B9B9" w14:textId="24F42E52" w:rsidR="00881C97" w:rsidRPr="00F00E4B" w:rsidRDefault="00DA4EFC">
    <w:pPr>
      <w:pStyle w:val="Footer"/>
    </w:pPr>
    <w:r>
      <w:t>ëëë</w:t>
    </w:r>
    <w:r w:rsidR="008D7B01">
      <w:t>.syriivizionit.org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E039" w14:textId="77777777" w:rsidR="000E505F" w:rsidRDefault="000E505F" w:rsidP="00D70E34">
      <w:pPr>
        <w:spacing w:after="0" w:line="240" w:lineRule="auto"/>
      </w:pPr>
      <w:r>
        <w:separator/>
      </w:r>
    </w:p>
  </w:footnote>
  <w:footnote w:type="continuationSeparator" w:id="0">
    <w:p w14:paraId="0E59E03C" w14:textId="77777777" w:rsidR="000E505F" w:rsidRDefault="000E505F" w:rsidP="00D7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B027" w14:textId="3B045A9D" w:rsidR="00881C97" w:rsidRPr="002F3519" w:rsidRDefault="00C51DF7" w:rsidP="00D57CA9">
    <w:pPr>
      <w:tabs>
        <w:tab w:val="left" w:pos="1824"/>
      </w:tabs>
      <w:rPr>
        <w:sz w:val="24"/>
        <w:szCs w:val="24"/>
        <w:lang w:val="sq-AL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6192" behindDoc="0" locked="0" layoutInCell="1" allowOverlap="1" wp14:anchorId="6A06AADF" wp14:editId="03309714">
          <wp:simplePos x="0" y="0"/>
          <wp:positionH relativeFrom="column">
            <wp:posOffset>4505325</wp:posOffset>
          </wp:positionH>
          <wp:positionV relativeFrom="paragraph">
            <wp:posOffset>-278130</wp:posOffset>
          </wp:positionV>
          <wp:extent cx="1724025" cy="95504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3720EA57" wp14:editId="5EC22739">
          <wp:simplePos x="0" y="0"/>
          <wp:positionH relativeFrom="margin">
            <wp:posOffset>-466725</wp:posOffset>
          </wp:positionH>
          <wp:positionV relativeFrom="margin">
            <wp:posOffset>-521970</wp:posOffset>
          </wp:positionV>
          <wp:extent cx="1499235" cy="40005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D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CDD238" wp14:editId="4B5F833B">
          <wp:simplePos x="0" y="0"/>
          <wp:positionH relativeFrom="margin">
            <wp:posOffset>1695450</wp:posOffset>
          </wp:positionH>
          <wp:positionV relativeFrom="margin">
            <wp:posOffset>-589280</wp:posOffset>
          </wp:positionV>
          <wp:extent cx="2189480" cy="561975"/>
          <wp:effectExtent l="0" t="0" r="0" b="0"/>
          <wp:wrapSquare wrapText="bothSides"/>
          <wp:docPr id="3" name="Picture 3" descr="STC_Logo_Eng_Horiz_Col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Eng_Horiz_ColPos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C97">
      <w:rPr>
        <w:b/>
        <w:sz w:val="24"/>
        <w:szCs w:val="24"/>
        <w:lang w:val="sq-AL"/>
      </w:rPr>
      <w:t xml:space="preserve">                         </w:t>
    </w:r>
    <w:r w:rsidR="00881C97">
      <w:rPr>
        <w:b/>
        <w:sz w:val="24"/>
        <w:szCs w:val="24"/>
        <w:lang w:val="sq-AL"/>
      </w:rPr>
      <w:tab/>
    </w:r>
  </w:p>
  <w:p w14:paraId="39F9A19F" w14:textId="3C78B536" w:rsidR="00881C97" w:rsidRDefault="00881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4E8"/>
    <w:multiLevelType w:val="hybridMultilevel"/>
    <w:tmpl w:val="E046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69D"/>
    <w:multiLevelType w:val="hybridMultilevel"/>
    <w:tmpl w:val="51D8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942"/>
    <w:multiLevelType w:val="hybridMultilevel"/>
    <w:tmpl w:val="015EC796"/>
    <w:lvl w:ilvl="0" w:tplc="BB9CC584">
      <w:start w:val="2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5C2E"/>
    <w:multiLevelType w:val="hybridMultilevel"/>
    <w:tmpl w:val="4474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C4D9F"/>
    <w:multiLevelType w:val="hybridMultilevel"/>
    <w:tmpl w:val="BC489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319A"/>
    <w:multiLevelType w:val="hybridMultilevel"/>
    <w:tmpl w:val="17461F80"/>
    <w:lvl w:ilvl="0" w:tplc="BCAED2A8">
      <w:start w:val="48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7BC4"/>
    <w:multiLevelType w:val="hybridMultilevel"/>
    <w:tmpl w:val="0622AF1A"/>
    <w:lvl w:ilvl="0" w:tplc="86609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0C6E"/>
    <w:multiLevelType w:val="hybridMultilevel"/>
    <w:tmpl w:val="7A70A048"/>
    <w:lvl w:ilvl="0" w:tplc="094E7A7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BA"/>
    <w:multiLevelType w:val="hybridMultilevel"/>
    <w:tmpl w:val="07EC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75C2A"/>
    <w:multiLevelType w:val="hybridMultilevel"/>
    <w:tmpl w:val="85881BE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94C88"/>
    <w:multiLevelType w:val="hybridMultilevel"/>
    <w:tmpl w:val="628068A4"/>
    <w:lvl w:ilvl="0" w:tplc="23281B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55E96"/>
    <w:multiLevelType w:val="hybridMultilevel"/>
    <w:tmpl w:val="D0EC91EC"/>
    <w:lvl w:ilvl="0" w:tplc="0809000F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7A4036B"/>
    <w:multiLevelType w:val="hybridMultilevel"/>
    <w:tmpl w:val="A4CC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B70C1"/>
    <w:multiLevelType w:val="hybridMultilevel"/>
    <w:tmpl w:val="BBF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231FC"/>
    <w:multiLevelType w:val="hybridMultilevel"/>
    <w:tmpl w:val="A094FC60"/>
    <w:lvl w:ilvl="0" w:tplc="B30A0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901"/>
    <w:multiLevelType w:val="hybridMultilevel"/>
    <w:tmpl w:val="6F50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3280">
    <w:abstractNumId w:val="14"/>
  </w:num>
  <w:num w:numId="2" w16cid:durableId="1587687092">
    <w:abstractNumId w:val="6"/>
  </w:num>
  <w:num w:numId="3" w16cid:durableId="931822188">
    <w:abstractNumId w:val="13"/>
  </w:num>
  <w:num w:numId="4" w16cid:durableId="1500343333">
    <w:abstractNumId w:val="3"/>
  </w:num>
  <w:num w:numId="5" w16cid:durableId="539050277">
    <w:abstractNumId w:val="12"/>
  </w:num>
  <w:num w:numId="6" w16cid:durableId="1448965859">
    <w:abstractNumId w:val="9"/>
  </w:num>
  <w:num w:numId="7" w16cid:durableId="1774548298">
    <w:abstractNumId w:val="1"/>
  </w:num>
  <w:num w:numId="8" w16cid:durableId="1755784927">
    <w:abstractNumId w:val="4"/>
  </w:num>
  <w:num w:numId="9" w16cid:durableId="1484160755">
    <w:abstractNumId w:val="0"/>
  </w:num>
  <w:num w:numId="10" w16cid:durableId="571624724">
    <w:abstractNumId w:val="11"/>
  </w:num>
  <w:num w:numId="11" w16cid:durableId="1666131806">
    <w:abstractNumId w:val="2"/>
  </w:num>
  <w:num w:numId="12" w16cid:durableId="1113866827">
    <w:abstractNumId w:val="7"/>
  </w:num>
  <w:num w:numId="13" w16cid:durableId="1980457184">
    <w:abstractNumId w:val="10"/>
  </w:num>
  <w:num w:numId="14" w16cid:durableId="734862550">
    <w:abstractNumId w:val="15"/>
  </w:num>
  <w:num w:numId="15" w16cid:durableId="2142720280">
    <w:abstractNumId w:val="5"/>
  </w:num>
  <w:num w:numId="16" w16cid:durableId="1393117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DUwMzI2MTUzNzBQ0lEKTi0uzszPAykwrAUA3niu8CwAAAA="/>
  </w:docVars>
  <w:rsids>
    <w:rsidRoot w:val="00D70E34"/>
    <w:rsid w:val="00017892"/>
    <w:rsid w:val="0006671F"/>
    <w:rsid w:val="000E403C"/>
    <w:rsid w:val="000E505F"/>
    <w:rsid w:val="000F6B05"/>
    <w:rsid w:val="001350F1"/>
    <w:rsid w:val="001875AB"/>
    <w:rsid w:val="001A556D"/>
    <w:rsid w:val="001F3603"/>
    <w:rsid w:val="00222BFC"/>
    <w:rsid w:val="00271610"/>
    <w:rsid w:val="00291B4B"/>
    <w:rsid w:val="002B75D1"/>
    <w:rsid w:val="00367BD3"/>
    <w:rsid w:val="00387FE2"/>
    <w:rsid w:val="003A601E"/>
    <w:rsid w:val="003D46B1"/>
    <w:rsid w:val="00420628"/>
    <w:rsid w:val="00437569"/>
    <w:rsid w:val="0052307E"/>
    <w:rsid w:val="0057469E"/>
    <w:rsid w:val="00625BF1"/>
    <w:rsid w:val="006A47B8"/>
    <w:rsid w:val="00713876"/>
    <w:rsid w:val="007557AF"/>
    <w:rsid w:val="00761FFE"/>
    <w:rsid w:val="007C528E"/>
    <w:rsid w:val="00881C97"/>
    <w:rsid w:val="008860A2"/>
    <w:rsid w:val="008C7FD9"/>
    <w:rsid w:val="008D7B01"/>
    <w:rsid w:val="008F4CBE"/>
    <w:rsid w:val="009166C6"/>
    <w:rsid w:val="00983644"/>
    <w:rsid w:val="009869D5"/>
    <w:rsid w:val="009945CA"/>
    <w:rsid w:val="009A2924"/>
    <w:rsid w:val="009B1460"/>
    <w:rsid w:val="009C5F31"/>
    <w:rsid w:val="00A71A1D"/>
    <w:rsid w:val="00B025DC"/>
    <w:rsid w:val="00B3302E"/>
    <w:rsid w:val="00B356F1"/>
    <w:rsid w:val="00B7483B"/>
    <w:rsid w:val="00BB382B"/>
    <w:rsid w:val="00BD5818"/>
    <w:rsid w:val="00C405EF"/>
    <w:rsid w:val="00C51DF7"/>
    <w:rsid w:val="00C8470F"/>
    <w:rsid w:val="00CC6B7E"/>
    <w:rsid w:val="00CD7253"/>
    <w:rsid w:val="00D57CA9"/>
    <w:rsid w:val="00D70E34"/>
    <w:rsid w:val="00D7479C"/>
    <w:rsid w:val="00DA4EFC"/>
    <w:rsid w:val="00DB0EA4"/>
    <w:rsid w:val="00DE3E0A"/>
    <w:rsid w:val="00E1131D"/>
    <w:rsid w:val="00E24566"/>
    <w:rsid w:val="00E950D8"/>
    <w:rsid w:val="00EF4D36"/>
    <w:rsid w:val="00F00E4B"/>
    <w:rsid w:val="00F4515C"/>
    <w:rsid w:val="00F56254"/>
    <w:rsid w:val="00F65C07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D395"/>
  <w15:docId w15:val="{2DD2A23C-C686-48E6-A437-F850522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EF"/>
  </w:style>
  <w:style w:type="paragraph" w:styleId="Footer">
    <w:name w:val="footer"/>
    <w:basedOn w:val="Normal"/>
    <w:link w:val="Foot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EF"/>
  </w:style>
  <w:style w:type="table" w:styleId="TableGrid">
    <w:name w:val="Table Grid"/>
    <w:basedOn w:val="TableNormal"/>
    <w:uiPriority w:val="39"/>
    <w:rsid w:val="001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C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6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C6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C6"/>
    <w:rPr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F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61FFE"/>
  </w:style>
  <w:style w:type="paragraph" w:styleId="Revision">
    <w:name w:val="Revision"/>
    <w:hidden/>
    <w:uiPriority w:val="99"/>
    <w:semiHidden/>
    <w:rsid w:val="00F56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7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541F3204B14CA829717C855269F3" ma:contentTypeVersion="13" ma:contentTypeDescription="Create a new document." ma:contentTypeScope="" ma:versionID="e53b89477fd594adaed9042d12f8ee91">
  <xsd:schema xmlns:xsd="http://www.w3.org/2001/XMLSchema" xmlns:xs="http://www.w3.org/2001/XMLSchema" xmlns:p="http://schemas.microsoft.com/office/2006/metadata/properties" xmlns:ns3="60266f37-4ce0-490d-b398-a0b95d7ddc63" xmlns:ns4="e9f2dc46-33c4-4353-a35a-3b65460e443f" targetNamespace="http://schemas.microsoft.com/office/2006/metadata/properties" ma:root="true" ma:fieldsID="3bd30d14108d8123377d9be1fc0096a0" ns3:_="" ns4:_="">
    <xsd:import namespace="60266f37-4ce0-490d-b398-a0b95d7ddc63"/>
    <xsd:import namespace="e9f2dc46-33c4-4353-a35a-3b65460e44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6f37-4ce0-490d-b398-a0b95d7dd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2dc46-33c4-4353-a35a-3b65460e4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D083E-68F5-4EEA-9EAB-5DF7993F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66f37-4ce0-490d-b398-a0b95d7ddc63"/>
    <ds:schemaRef ds:uri="e9f2dc46-33c4-4353-a35a-3b65460e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5847E-2C2E-42DA-9957-816082840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4F083-FC5E-463C-B8E2-101055B87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Safci, Senem</dc:creator>
  <cp:lastModifiedBy>Luan Ibraj</cp:lastModifiedBy>
  <cp:revision>2</cp:revision>
  <dcterms:created xsi:type="dcterms:W3CDTF">2026-01-13T12:18:00Z</dcterms:created>
  <dcterms:modified xsi:type="dcterms:W3CDTF">2026-01-13T12:18:00Z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0x010100FAA7541F3204B14CA829717C855269F3</vt:lpwstr>
  </property>
  <property fmtid="{D5CDD505-2E9C-101B-9397-08002B2CF9AE}" pid="3" name="GrammarlyDocumentId">
    <vt:lpwstr>c260ede3-39df-4284-8c52-4cf22b15efb5</vt:lpwstr>
  </property>
</Properties>
</file>