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120B" w14:textId="77777777" w:rsidR="00B7483B" w:rsidRPr="00FF3226" w:rsidRDefault="00B7483B" w:rsidP="002B75D1">
      <w:pPr>
        <w:jc w:val="center"/>
        <w:rPr>
          <w:rFonts w:cstheme="minorHAnsi"/>
          <w:b/>
          <w:sz w:val="24"/>
          <w:szCs w:val="24"/>
          <w:lang w:val="sq-AL"/>
        </w:rPr>
      </w:pPr>
    </w:p>
    <w:p w14:paraId="73E91EDF" w14:textId="5397EC1E" w:rsidR="002B75D1" w:rsidRPr="00FF3226" w:rsidRDefault="002B75D1" w:rsidP="002B75D1">
      <w:pPr>
        <w:jc w:val="center"/>
        <w:rPr>
          <w:rFonts w:cstheme="minorHAnsi"/>
          <w:b/>
          <w:sz w:val="28"/>
          <w:szCs w:val="28"/>
          <w:lang w:val="sq-AL"/>
        </w:rPr>
      </w:pPr>
      <w:r w:rsidRPr="00FF3226">
        <w:rPr>
          <w:rFonts w:cstheme="minorHAnsi"/>
          <w:b/>
          <w:sz w:val="28"/>
          <w:szCs w:val="28"/>
          <w:lang w:val="sq-AL"/>
        </w:rPr>
        <w:t>Termat e Referencës</w:t>
      </w:r>
    </w:p>
    <w:p w14:paraId="06F4648E" w14:textId="7B22D638" w:rsidR="00FB2C86" w:rsidRPr="00FF3226" w:rsidRDefault="00FB2C86" w:rsidP="002B75D1">
      <w:pPr>
        <w:rPr>
          <w:rFonts w:cstheme="minorHAnsi"/>
          <w:b/>
          <w:bCs/>
          <w:sz w:val="28"/>
          <w:szCs w:val="28"/>
          <w:lang w:val="sq-AL"/>
        </w:rPr>
      </w:pPr>
      <w:r w:rsidRPr="00FF3226">
        <w:rPr>
          <w:rFonts w:cstheme="minorHAnsi"/>
          <w:b/>
          <w:bCs/>
          <w:sz w:val="28"/>
          <w:szCs w:val="28"/>
          <w:lang w:val="sq-AL"/>
        </w:rPr>
        <w:t xml:space="preserve">Angazhimi i Ekspertit/es për </w:t>
      </w:r>
      <w:r w:rsidR="00EC578F" w:rsidRPr="00FF3226">
        <w:rPr>
          <w:rFonts w:cstheme="minorHAnsi"/>
          <w:b/>
          <w:bCs/>
          <w:sz w:val="28"/>
          <w:szCs w:val="28"/>
          <w:lang w:val="sq-AL"/>
        </w:rPr>
        <w:t>Analizimin e nevojave, mundësive dhe boshllëqeve ligjore për fuqizimin e angazhimit prindëror në shkolla dhe komunitete</w:t>
      </w:r>
    </w:p>
    <w:p w14:paraId="5B4ADC06" w14:textId="1FF4A1EB" w:rsidR="002B75D1" w:rsidRPr="00FF3226" w:rsidRDefault="002B75D1" w:rsidP="002B75D1">
      <w:pPr>
        <w:rPr>
          <w:rFonts w:cstheme="minorHAnsi"/>
          <w:b/>
          <w:bCs/>
          <w:sz w:val="28"/>
          <w:szCs w:val="28"/>
          <w:lang w:val="sq-AL"/>
        </w:rPr>
      </w:pPr>
      <w:r w:rsidRPr="00FF3226">
        <w:rPr>
          <w:rFonts w:cstheme="minorHAnsi"/>
          <w:b/>
          <w:bCs/>
          <w:sz w:val="28"/>
          <w:szCs w:val="28"/>
          <w:lang w:val="sq-AL"/>
        </w:rPr>
        <w:t>Hyrje</w:t>
      </w:r>
    </w:p>
    <w:p w14:paraId="5B0DB43B" w14:textId="77777777" w:rsidR="003012A6" w:rsidRPr="00FF3226" w:rsidRDefault="003012A6" w:rsidP="003012A6">
      <w:pPr>
        <w:rPr>
          <w:rFonts w:cstheme="minorHAnsi"/>
          <w:sz w:val="24"/>
          <w:szCs w:val="24"/>
          <w:lang w:val="sq-AL"/>
        </w:rPr>
      </w:pPr>
      <w:r w:rsidRPr="00FF3226">
        <w:rPr>
          <w:rFonts w:cstheme="minorHAnsi"/>
          <w:sz w:val="24"/>
          <w:szCs w:val="24"/>
          <w:lang w:val="sq-AL"/>
        </w:rPr>
        <w:t>Syri i Vizionit (SiV) është regjistruar zyrtarisht si organizatë joqeveritare lokale në shtator të vitit 2001, por ka filluar të funksionojë edhe më herët, që nga viti 1999, si Organizatë e Bazuar në Komunitet (CBO) në komunën e Pejës.</w:t>
      </w:r>
    </w:p>
    <w:p w14:paraId="50718985" w14:textId="37C815A6" w:rsidR="003012A6" w:rsidRPr="00FF3226" w:rsidRDefault="003012A6" w:rsidP="003012A6">
      <w:pPr>
        <w:rPr>
          <w:rFonts w:cstheme="minorHAnsi"/>
          <w:sz w:val="24"/>
          <w:szCs w:val="24"/>
          <w:lang w:val="sq-AL"/>
        </w:rPr>
      </w:pPr>
      <w:r w:rsidRPr="00FF3226">
        <w:rPr>
          <w:rFonts w:cstheme="minorHAnsi"/>
          <w:sz w:val="24"/>
          <w:szCs w:val="24"/>
          <w:lang w:val="sq-AL"/>
        </w:rPr>
        <w:t>Që nga themelimi, motoja e organizatës ka qenë: “Mendo globalisht, vepro lokalisht”, parim të cilit SiV i ka qëndruar vazhdimisht besnik në punën dhe angazhimin e saj.</w:t>
      </w:r>
    </w:p>
    <w:p w14:paraId="2EB584C4" w14:textId="77777777" w:rsidR="003012A6" w:rsidRPr="00FF3226" w:rsidRDefault="003012A6" w:rsidP="003012A6">
      <w:pPr>
        <w:rPr>
          <w:rFonts w:cstheme="minorHAnsi"/>
          <w:sz w:val="24"/>
          <w:szCs w:val="24"/>
          <w:lang w:val="sq-AL"/>
        </w:rPr>
      </w:pPr>
      <w:r w:rsidRPr="00FF3226">
        <w:rPr>
          <w:rFonts w:cstheme="minorHAnsi"/>
          <w:b/>
          <w:bCs/>
          <w:sz w:val="24"/>
          <w:szCs w:val="24"/>
          <w:lang w:val="sq-AL"/>
        </w:rPr>
        <w:t>Vizioni ynë:</w:t>
      </w:r>
      <w:r w:rsidRPr="00FF3226">
        <w:rPr>
          <w:rFonts w:cstheme="minorHAnsi"/>
          <w:sz w:val="24"/>
          <w:szCs w:val="24"/>
          <w:lang w:val="sq-AL"/>
        </w:rPr>
        <w:t xml:space="preserve"> Organizatë që realizon veprime lokale të bazuara në praktikat më të mira</w:t>
      </w:r>
    </w:p>
    <w:p w14:paraId="04B317B1" w14:textId="77777777" w:rsidR="003012A6" w:rsidRPr="00FF3226" w:rsidRDefault="003012A6" w:rsidP="003012A6">
      <w:pPr>
        <w:rPr>
          <w:rFonts w:cstheme="minorHAnsi"/>
          <w:sz w:val="24"/>
          <w:szCs w:val="24"/>
          <w:lang w:val="sq-AL"/>
        </w:rPr>
      </w:pPr>
      <w:r w:rsidRPr="00FF3226">
        <w:rPr>
          <w:rFonts w:cstheme="minorHAnsi"/>
          <w:b/>
          <w:bCs/>
          <w:sz w:val="24"/>
          <w:szCs w:val="24"/>
          <w:lang w:val="sq-AL"/>
        </w:rPr>
        <w:t>Misioni ynë:</w:t>
      </w:r>
      <w:r w:rsidRPr="00FF3226">
        <w:rPr>
          <w:rFonts w:cstheme="minorHAnsi"/>
          <w:sz w:val="24"/>
          <w:szCs w:val="24"/>
          <w:lang w:val="sq-AL"/>
        </w:rPr>
        <w:t xml:space="preserve">  Mbështetja e komunitetit përmes informimit, avokimit, vetëdijesimit dhe ngritjes së kapaciteteve të individëve, grupeve joformale, organizatave, institucioneve, rrjeteve dhe donatorëve.</w:t>
      </w:r>
    </w:p>
    <w:p w14:paraId="10B5DEDD" w14:textId="77777777" w:rsidR="004E1D07" w:rsidRPr="00FF3226" w:rsidRDefault="003012A6" w:rsidP="002B75D1">
      <w:pPr>
        <w:rPr>
          <w:rFonts w:cstheme="minorHAnsi"/>
          <w:sz w:val="24"/>
          <w:szCs w:val="24"/>
          <w:lang w:val="sq-AL"/>
        </w:rPr>
      </w:pPr>
      <w:r w:rsidRPr="00FF3226">
        <w:rPr>
          <w:rFonts w:cstheme="minorHAnsi"/>
          <w:b/>
          <w:bCs/>
          <w:sz w:val="24"/>
          <w:szCs w:val="24"/>
          <w:lang w:val="sq-AL"/>
        </w:rPr>
        <w:t>Vlerat tona:</w:t>
      </w:r>
      <w:r w:rsidRPr="00FF3226">
        <w:rPr>
          <w:rFonts w:cstheme="minorHAnsi"/>
          <w:sz w:val="24"/>
          <w:szCs w:val="24"/>
          <w:lang w:val="sq-AL"/>
        </w:rPr>
        <w:t xml:space="preserve"> Respektimi i të gjithëve pa dallim, puna në ekip dhe ndihma ndaj njëri tjetrit, hapësira e veprimi për vullnetarët, besimi dhe përgjegjshmëria, qasja bashkëpunuese dhe gjithëpërfshirja</w:t>
      </w:r>
    </w:p>
    <w:p w14:paraId="10B36280" w14:textId="7001D0D8" w:rsidR="002B75D1" w:rsidRPr="00FF3226" w:rsidRDefault="002B75D1" w:rsidP="002B75D1">
      <w:pPr>
        <w:rPr>
          <w:rFonts w:cstheme="minorHAnsi"/>
          <w:b/>
          <w:sz w:val="28"/>
          <w:szCs w:val="28"/>
          <w:lang w:val="sq-AL"/>
        </w:rPr>
      </w:pPr>
      <w:r w:rsidRPr="00FF3226">
        <w:rPr>
          <w:rFonts w:cstheme="minorHAnsi"/>
          <w:b/>
          <w:sz w:val="28"/>
          <w:szCs w:val="28"/>
          <w:lang w:val="sq-AL"/>
        </w:rPr>
        <w:t>II. Informata të përgjithshme</w:t>
      </w:r>
    </w:p>
    <w:p w14:paraId="3809A1F5" w14:textId="084B650C" w:rsidR="002B2BFA" w:rsidRPr="00FF3226" w:rsidRDefault="002B2BFA" w:rsidP="002B2BFA">
      <w:pPr>
        <w:rPr>
          <w:rFonts w:cstheme="minorHAnsi"/>
          <w:sz w:val="24"/>
          <w:szCs w:val="24"/>
          <w:lang w:val="sq-AL"/>
        </w:rPr>
      </w:pPr>
      <w:r w:rsidRPr="00FF3226">
        <w:rPr>
          <w:rFonts w:cstheme="minorHAnsi"/>
          <w:sz w:val="24"/>
          <w:szCs w:val="24"/>
          <w:lang w:val="sq-AL"/>
        </w:rPr>
        <w:t>Në kuadër të programit tematik “Fuqizimi i Fëmijëve për Ndryshim Politikash dhe Pjesëmarrje”, organizata Syri i Vizionit (SiV), në partneritet me Save the Children – Zyra në Kosovë (SCiK), po punon për të fuqizuar pjesëmarrjen e fëmijëve në proceset vendimmarrëse dhe avokuese në nivel lokal dhe nacional, si dhe për të kontribuar në përmirësimin e politikave, praktikave dhe mekanizmave që lidhen me mbrojtjen, mirëqenien dhe realizimin e të drejtave të fëmijëve në shkolla dhe komunitet.</w:t>
      </w:r>
    </w:p>
    <w:p w14:paraId="10D2D677" w14:textId="5BCA7D3D" w:rsidR="002B2BFA" w:rsidRPr="00FF3226" w:rsidRDefault="002B2BFA" w:rsidP="002B2BFA">
      <w:pPr>
        <w:rPr>
          <w:rFonts w:cstheme="minorHAnsi"/>
          <w:sz w:val="24"/>
          <w:szCs w:val="24"/>
          <w:lang w:val="sq-AL"/>
        </w:rPr>
      </w:pPr>
      <w:r w:rsidRPr="00FF3226">
        <w:rPr>
          <w:rFonts w:cstheme="minorHAnsi"/>
          <w:sz w:val="24"/>
          <w:szCs w:val="24"/>
          <w:lang w:val="sq-AL"/>
        </w:rPr>
        <w:t>Në këtë kuadër, do të realizohet një analizë e nevojave, mundësive dhe boshllëqeve ligjore e institucionale që lidhen me angazhimin e prindërve dhe përgjegjësinë prindërore në sistemin arsimor. Analiza do të fokusohet në natyrën e përgjegjësisë prindërore në kontekstin arsimor, duke shqyrtuar të drejtat dhe detyrimet administrative dhe institucionale të prindërve në raport me edukimin dhe arsimimin e fëmijëve, bashkëpunimin me institucionet arsimore dhe mbështetjen e pjesëmarrjes dhe mirëqenies së fëmijëve në shkollë dhe komunitet.</w:t>
      </w:r>
    </w:p>
    <w:p w14:paraId="4D86344F" w14:textId="4809E66C" w:rsidR="00FB2C86" w:rsidRPr="00FF3226" w:rsidRDefault="002B75D1" w:rsidP="00FB2C86">
      <w:pPr>
        <w:rPr>
          <w:rFonts w:cstheme="minorHAnsi"/>
          <w:b/>
          <w:sz w:val="28"/>
          <w:szCs w:val="28"/>
          <w:lang w:val="sq-AL"/>
        </w:rPr>
      </w:pPr>
      <w:r w:rsidRPr="00FF3226">
        <w:rPr>
          <w:rFonts w:cstheme="minorHAnsi"/>
          <w:b/>
          <w:sz w:val="28"/>
          <w:szCs w:val="28"/>
          <w:lang w:val="sq-AL"/>
        </w:rPr>
        <w:t xml:space="preserve">III. </w:t>
      </w:r>
      <w:r w:rsidR="00FB2C86" w:rsidRPr="00FF3226">
        <w:rPr>
          <w:rFonts w:cstheme="minorHAnsi"/>
          <w:b/>
          <w:sz w:val="28"/>
          <w:szCs w:val="28"/>
          <w:lang w:val="sq-AL"/>
        </w:rPr>
        <w:t xml:space="preserve"> Sfondi</w:t>
      </w:r>
    </w:p>
    <w:p w14:paraId="71E22B7A" w14:textId="77777777" w:rsidR="00A25E15" w:rsidRPr="00FF3226" w:rsidRDefault="002B2BFA" w:rsidP="002B2BFA">
      <w:pPr>
        <w:rPr>
          <w:rFonts w:cstheme="minorHAnsi"/>
          <w:bCs/>
          <w:sz w:val="24"/>
          <w:szCs w:val="24"/>
          <w:lang w:val="sq-AL"/>
        </w:rPr>
      </w:pPr>
      <w:r w:rsidRPr="00FF3226">
        <w:rPr>
          <w:rFonts w:cstheme="minorHAnsi"/>
          <w:bCs/>
          <w:sz w:val="24"/>
          <w:szCs w:val="24"/>
          <w:lang w:val="sq-AL"/>
        </w:rPr>
        <w:t xml:space="preserve">Angazhimi i prindërve në shkolla dhe komunitet është një komponent i rëndësishëm për promovimin e zhvillimit, mirëqenies dhe suksesit arsimor të fëmijëve. Pjesëmarrja aktive e prindërve në proceset edukativo-arsimore dhe bashkëpunimi i tyre me institucionet </w:t>
      </w:r>
    </w:p>
    <w:p w14:paraId="0FC67C5E" w14:textId="77777777" w:rsidR="00A25E15" w:rsidRPr="00FF3226" w:rsidRDefault="00A25E15" w:rsidP="002B2BFA">
      <w:pPr>
        <w:rPr>
          <w:rFonts w:cstheme="minorHAnsi"/>
          <w:bCs/>
          <w:sz w:val="24"/>
          <w:szCs w:val="24"/>
          <w:lang w:val="sq-AL"/>
        </w:rPr>
      </w:pPr>
    </w:p>
    <w:p w14:paraId="470C9E27" w14:textId="796775B4" w:rsidR="002B2BFA" w:rsidRPr="00FF3226" w:rsidRDefault="00A25E15" w:rsidP="002B2BFA">
      <w:pPr>
        <w:rPr>
          <w:rFonts w:cstheme="minorHAnsi"/>
          <w:bCs/>
          <w:sz w:val="24"/>
          <w:szCs w:val="24"/>
          <w:lang w:val="sq-AL"/>
        </w:rPr>
      </w:pPr>
      <w:r w:rsidRPr="00FF3226">
        <w:rPr>
          <w:rFonts w:cstheme="minorHAnsi"/>
          <w:bCs/>
          <w:sz w:val="24"/>
          <w:szCs w:val="24"/>
          <w:lang w:val="sq-AL"/>
        </w:rPr>
        <w:t>a</w:t>
      </w:r>
      <w:r w:rsidR="002B2BFA" w:rsidRPr="00FF3226">
        <w:rPr>
          <w:rFonts w:cstheme="minorHAnsi"/>
          <w:bCs/>
          <w:sz w:val="24"/>
          <w:szCs w:val="24"/>
          <w:lang w:val="sq-AL"/>
        </w:rPr>
        <w:t>rsimore kontribuojnë në krijimin e një mjedisi të sigurt, gjithëpërfshirës dhe mbështetës për fëmijët.</w:t>
      </w:r>
    </w:p>
    <w:p w14:paraId="3524DBA1" w14:textId="111B6ADC" w:rsidR="002B2BFA" w:rsidRPr="00FF3226" w:rsidRDefault="002B2BFA" w:rsidP="002B2BFA">
      <w:pPr>
        <w:rPr>
          <w:rFonts w:cstheme="minorHAnsi"/>
          <w:bCs/>
          <w:sz w:val="24"/>
          <w:szCs w:val="24"/>
          <w:lang w:val="sq-AL"/>
        </w:rPr>
      </w:pPr>
      <w:r w:rsidRPr="00FF3226">
        <w:rPr>
          <w:rFonts w:cstheme="minorHAnsi"/>
          <w:bCs/>
          <w:sz w:val="24"/>
          <w:szCs w:val="24"/>
          <w:lang w:val="sq-AL"/>
        </w:rPr>
        <w:t>Megjithëse korniza ligjore dhe politikat arsimore në Kosovë parashohin forma të ndryshme të bashkëpunimit ndërmjet prindërve, shkollave dhe komunitetit, vazhdojnë të ekzistojnë sfida që lidhen me nivelin e angazhimit prindëror, qartësinë e roleve dhe përgjegjësive, si dhe efektivitetin e mekanizmave institucionalë për promovimin e pjesëmarrjes së prindërve.</w:t>
      </w:r>
    </w:p>
    <w:p w14:paraId="47D61D9D" w14:textId="52E4607D" w:rsidR="002B2BFA" w:rsidRPr="00FF3226" w:rsidRDefault="002B2BFA" w:rsidP="002B2BFA">
      <w:pPr>
        <w:rPr>
          <w:rFonts w:cstheme="minorHAnsi"/>
          <w:bCs/>
          <w:sz w:val="24"/>
          <w:szCs w:val="24"/>
          <w:lang w:val="sq-AL"/>
        </w:rPr>
      </w:pPr>
      <w:r w:rsidRPr="00FF3226">
        <w:rPr>
          <w:rFonts w:cstheme="minorHAnsi"/>
          <w:bCs/>
          <w:sz w:val="24"/>
          <w:szCs w:val="24"/>
          <w:lang w:val="sq-AL"/>
        </w:rPr>
        <w:t>Për këtë arsye, ekziston nevoja për një analizë të nevojave, mundësive dhe boshllëqeve ligjore e institucionale që ndikojnë në angazhimin e prindërve në shkolla dhe komunitete, si dhe për identifikimin e praktikave dhe mekanizmave mbështetës që mund të kontribuojnë në forcimin e këtij angazhimi.</w:t>
      </w:r>
    </w:p>
    <w:p w14:paraId="22E4612B" w14:textId="63DF461F" w:rsidR="00FB2C86" w:rsidRPr="00FF3226" w:rsidRDefault="002B2BFA" w:rsidP="00222BFC">
      <w:pPr>
        <w:rPr>
          <w:rFonts w:cstheme="minorHAnsi"/>
          <w:b/>
          <w:sz w:val="24"/>
          <w:szCs w:val="24"/>
          <w:lang w:val="sq-AL"/>
        </w:rPr>
      </w:pPr>
      <w:r w:rsidRPr="00FF3226">
        <w:rPr>
          <w:rFonts w:cstheme="minorHAnsi"/>
          <w:bCs/>
          <w:sz w:val="24"/>
          <w:szCs w:val="24"/>
          <w:lang w:val="sq-AL"/>
        </w:rPr>
        <w:t>Analiza do të fokusohet në natyrën e përgjegjësisë prindërore në kontekstin arsimor, duke shqyrtuar të drejtat dhe detyrimet administrative dhe institucionale të prindërve në raport me sistemin arsimor, përfshirë bashkëpunimin me shkollat, mbështetjen e vijimit të rregullt të arsimit dhe pjesëmarrjen në proceset që lidhen me zhvillimin dhe mirëqenien e fëmijëve. Aspektet e përgjegjësisë civile dhe penale do të trajtohen vetëm në masën që ndërlidhen drejtpërdrejt me sistemin arsimor dhe realizimin e të drejtës së fëmijës për arsim.</w:t>
      </w:r>
      <w:r w:rsidRPr="00FF3226" w:rsidDel="002F2A32">
        <w:rPr>
          <w:rFonts w:cstheme="minorHAnsi"/>
          <w:bCs/>
          <w:sz w:val="24"/>
          <w:szCs w:val="24"/>
          <w:lang w:val="sq-AL"/>
        </w:rPr>
        <w:t xml:space="preserve"> </w:t>
      </w:r>
    </w:p>
    <w:p w14:paraId="5D8418AE" w14:textId="05CC3A03" w:rsidR="002B75D1" w:rsidRPr="00FF3226" w:rsidRDefault="00FB2C86" w:rsidP="00222BFC">
      <w:pPr>
        <w:rPr>
          <w:rFonts w:cstheme="minorHAnsi"/>
          <w:sz w:val="28"/>
          <w:szCs w:val="28"/>
          <w:lang w:val="sq-AL"/>
        </w:rPr>
      </w:pPr>
      <w:r w:rsidRPr="00FF3226">
        <w:rPr>
          <w:rFonts w:cstheme="minorHAnsi"/>
          <w:b/>
          <w:sz w:val="28"/>
          <w:szCs w:val="28"/>
          <w:lang w:val="sq-AL"/>
        </w:rPr>
        <w:t xml:space="preserve">IV. </w:t>
      </w:r>
      <w:r w:rsidR="002B75D1" w:rsidRPr="00FF3226">
        <w:rPr>
          <w:rFonts w:cstheme="minorHAnsi"/>
          <w:b/>
          <w:sz w:val="28"/>
          <w:szCs w:val="28"/>
          <w:lang w:val="sq-AL"/>
        </w:rPr>
        <w:t>Objektiva</w:t>
      </w:r>
    </w:p>
    <w:p w14:paraId="5019DE74" w14:textId="222F5313" w:rsidR="00FB2C86" w:rsidRPr="00FF3226" w:rsidRDefault="00FB2C86" w:rsidP="00531D1C">
      <w:pPr>
        <w:rPr>
          <w:rFonts w:cstheme="minorHAnsi"/>
          <w:sz w:val="24"/>
          <w:szCs w:val="24"/>
          <w:lang w:val="sq-AL"/>
        </w:rPr>
      </w:pPr>
      <w:r w:rsidRPr="00FF3226">
        <w:rPr>
          <w:rFonts w:cstheme="minorHAnsi"/>
          <w:sz w:val="24"/>
          <w:szCs w:val="24"/>
          <w:lang w:val="sq-AL"/>
        </w:rPr>
        <w:t xml:space="preserve">Realizimi i një analizë ligjore dhe krahasuese e kornizës ekzistuese në Kosovë dhe e praktikave ndërkombëtare, </w:t>
      </w:r>
      <w:r w:rsidR="00ED055D" w:rsidRPr="00FF3226">
        <w:rPr>
          <w:rFonts w:cstheme="minorHAnsi"/>
          <w:sz w:val="24"/>
          <w:szCs w:val="24"/>
          <w:lang w:val="sq-AL"/>
        </w:rPr>
        <w:t xml:space="preserve">me qëllim identifikimin e nevojave, mundësive ligjore dhe institucionale, boshllëqeve dhe praktikave mbështetëse për forcimin e angazhimit të prindërve në shkolla dhe komunitete, si dhe përmirësimin e bashkëpunimit ndërmjet prindërve, institucioneve arsimore dhe akterëve të tjerë relevantë për mirëqenien dhe zhvillimin e fëmijëve.. </w:t>
      </w:r>
    </w:p>
    <w:p w14:paraId="1264F7AE" w14:textId="0B77E714" w:rsidR="00531D1C" w:rsidRPr="00FF3226" w:rsidRDefault="002F070D" w:rsidP="00531D1C">
      <w:pPr>
        <w:rPr>
          <w:rFonts w:cstheme="minorHAnsi"/>
          <w:b/>
          <w:bCs/>
          <w:sz w:val="28"/>
          <w:szCs w:val="28"/>
          <w:lang w:val="sq-AL"/>
        </w:rPr>
      </w:pPr>
      <w:r w:rsidRPr="00FF3226">
        <w:rPr>
          <w:rFonts w:cstheme="minorHAnsi"/>
          <w:b/>
          <w:bCs/>
          <w:sz w:val="28"/>
          <w:szCs w:val="28"/>
          <w:lang w:val="sq-AL"/>
        </w:rPr>
        <w:t xml:space="preserve">V </w:t>
      </w:r>
      <w:r w:rsidR="00531D1C" w:rsidRPr="00FF3226">
        <w:rPr>
          <w:rFonts w:cstheme="minorHAnsi"/>
          <w:b/>
          <w:bCs/>
          <w:sz w:val="28"/>
          <w:szCs w:val="28"/>
          <w:lang w:val="sq-AL"/>
        </w:rPr>
        <w:t>Objektivat specifike</w:t>
      </w:r>
      <w:r w:rsidRPr="00FF3226">
        <w:rPr>
          <w:rFonts w:cstheme="minorHAnsi"/>
          <w:b/>
          <w:bCs/>
          <w:sz w:val="28"/>
          <w:szCs w:val="28"/>
          <w:lang w:val="sq-AL"/>
        </w:rPr>
        <w:t>:</w:t>
      </w:r>
    </w:p>
    <w:p w14:paraId="3B5928C5" w14:textId="77777777" w:rsidR="002F2A32" w:rsidRPr="00FF3226" w:rsidRDefault="002F2A32" w:rsidP="002F2A32">
      <w:pPr>
        <w:spacing w:before="100" w:beforeAutospacing="1" w:after="100" w:afterAutospacing="1" w:line="240" w:lineRule="auto"/>
        <w:rPr>
          <w:rFonts w:eastAsia="Times New Roman" w:cstheme="minorHAnsi"/>
          <w:sz w:val="24"/>
          <w:szCs w:val="24"/>
          <w:lang w:val="sq-AL"/>
        </w:rPr>
      </w:pPr>
      <w:r w:rsidRPr="00FF3226">
        <w:rPr>
          <w:rFonts w:eastAsia="Times New Roman" w:cstheme="minorHAnsi"/>
          <w:sz w:val="24"/>
          <w:szCs w:val="24"/>
          <w:lang w:val="sq-AL"/>
        </w:rPr>
        <w:t>Raporti final duhet të paraqesë një analizë gjithëpërfshirëse dhe të bazuar në evidencë, duke përfshirë:</w:t>
      </w:r>
    </w:p>
    <w:p w14:paraId="667DE887" w14:textId="77777777" w:rsidR="002F2A32" w:rsidRPr="00FF3226" w:rsidRDefault="002F2A32" w:rsidP="002F2A32">
      <w:pPr>
        <w:numPr>
          <w:ilvl w:val="0"/>
          <w:numId w:val="36"/>
        </w:numPr>
        <w:spacing w:before="100" w:beforeAutospacing="1" w:after="100" w:afterAutospacing="1" w:line="240" w:lineRule="auto"/>
        <w:rPr>
          <w:rFonts w:eastAsia="Times New Roman" w:cstheme="minorHAnsi"/>
          <w:sz w:val="24"/>
          <w:szCs w:val="24"/>
          <w:lang w:val="sq-AL"/>
        </w:rPr>
      </w:pPr>
      <w:r w:rsidRPr="00FF3226">
        <w:rPr>
          <w:rFonts w:eastAsia="Times New Roman" w:cstheme="minorHAnsi"/>
          <w:b/>
          <w:bCs/>
          <w:sz w:val="24"/>
          <w:szCs w:val="24"/>
          <w:lang w:val="sq-AL"/>
        </w:rPr>
        <w:t>Hyrjen</w:t>
      </w:r>
      <w:r w:rsidRPr="00FF3226">
        <w:rPr>
          <w:rFonts w:eastAsia="Times New Roman" w:cstheme="minorHAnsi"/>
          <w:sz w:val="24"/>
          <w:szCs w:val="24"/>
          <w:lang w:val="sq-AL"/>
        </w:rPr>
        <w:t xml:space="preserve">, e cila përshkruan kontekstin, arsyetimin dhe qëllimin e analizës, si dhe rëndësinë e forcimit të angazhimit të prindërve në shkolla dhe komunitete. </w:t>
      </w:r>
    </w:p>
    <w:p w14:paraId="074E7084" w14:textId="77777777" w:rsidR="002F2A32" w:rsidRPr="00FF3226" w:rsidRDefault="002F2A32" w:rsidP="002F2A32">
      <w:pPr>
        <w:numPr>
          <w:ilvl w:val="0"/>
          <w:numId w:val="36"/>
        </w:numPr>
        <w:spacing w:before="100" w:beforeAutospacing="1" w:after="100" w:afterAutospacing="1" w:line="240" w:lineRule="auto"/>
        <w:rPr>
          <w:rFonts w:eastAsia="Times New Roman" w:cstheme="minorHAnsi"/>
          <w:sz w:val="24"/>
          <w:szCs w:val="24"/>
          <w:lang w:val="sq-AL"/>
        </w:rPr>
      </w:pPr>
      <w:r w:rsidRPr="00FF3226">
        <w:rPr>
          <w:rFonts w:eastAsia="Times New Roman" w:cstheme="minorHAnsi"/>
          <w:b/>
          <w:bCs/>
          <w:sz w:val="24"/>
          <w:szCs w:val="24"/>
          <w:lang w:val="sq-AL"/>
        </w:rPr>
        <w:t>Metodologjinë</w:t>
      </w:r>
      <w:r w:rsidRPr="00FF3226">
        <w:rPr>
          <w:rFonts w:eastAsia="Times New Roman" w:cstheme="minorHAnsi"/>
          <w:sz w:val="24"/>
          <w:szCs w:val="24"/>
          <w:lang w:val="sq-AL"/>
        </w:rPr>
        <w:t xml:space="preserve">, duke sqaruar qasjen e përdorur për mbledhjen dhe analizimin e të dhënave, burimet e informacionit, konsultimet me palët e interesit dhe metodat e hulumtimit. </w:t>
      </w:r>
    </w:p>
    <w:p w14:paraId="673F39E3" w14:textId="77777777" w:rsidR="002F2A32" w:rsidRPr="00FF3226" w:rsidRDefault="002F2A32" w:rsidP="002F2A32">
      <w:pPr>
        <w:numPr>
          <w:ilvl w:val="0"/>
          <w:numId w:val="36"/>
        </w:numPr>
        <w:spacing w:before="100" w:beforeAutospacing="1" w:after="100" w:afterAutospacing="1" w:line="240" w:lineRule="auto"/>
        <w:rPr>
          <w:rFonts w:eastAsia="Times New Roman" w:cstheme="minorHAnsi"/>
          <w:sz w:val="24"/>
          <w:szCs w:val="24"/>
          <w:lang w:val="sq-AL"/>
        </w:rPr>
      </w:pPr>
      <w:r w:rsidRPr="00FF3226">
        <w:rPr>
          <w:rFonts w:eastAsia="Times New Roman" w:cstheme="minorHAnsi"/>
          <w:b/>
          <w:bCs/>
          <w:sz w:val="24"/>
          <w:szCs w:val="24"/>
          <w:lang w:val="sq-AL"/>
        </w:rPr>
        <w:t>Analizën e kornizës ligjore dhe institucionale në Kosovë</w:t>
      </w:r>
      <w:r w:rsidRPr="00FF3226">
        <w:rPr>
          <w:rFonts w:eastAsia="Times New Roman" w:cstheme="minorHAnsi"/>
          <w:sz w:val="24"/>
          <w:szCs w:val="24"/>
          <w:lang w:val="sq-AL"/>
        </w:rPr>
        <w:t xml:space="preserve">, duke shqyrtuar legjislacionin, politikat, strategjitë dhe mekanizmat ekzistues që rregullojnë dhe mbështesin angazhimin e prindërve në sistemin arsimor dhe në komunitet. </w:t>
      </w:r>
    </w:p>
    <w:p w14:paraId="7F9CB3AB" w14:textId="77777777" w:rsidR="002F2A32" w:rsidRPr="00FF3226" w:rsidRDefault="002F2A32" w:rsidP="002F2A32">
      <w:pPr>
        <w:numPr>
          <w:ilvl w:val="0"/>
          <w:numId w:val="36"/>
        </w:numPr>
        <w:spacing w:before="100" w:beforeAutospacing="1" w:after="100" w:afterAutospacing="1" w:line="240" w:lineRule="auto"/>
        <w:rPr>
          <w:rFonts w:eastAsia="Times New Roman" w:cstheme="minorHAnsi"/>
          <w:sz w:val="24"/>
          <w:szCs w:val="24"/>
          <w:lang w:val="sq-AL"/>
        </w:rPr>
      </w:pPr>
      <w:r w:rsidRPr="00FF3226">
        <w:rPr>
          <w:rFonts w:eastAsia="Times New Roman" w:cstheme="minorHAnsi"/>
          <w:b/>
          <w:bCs/>
          <w:sz w:val="24"/>
          <w:szCs w:val="24"/>
          <w:lang w:val="sq-AL"/>
        </w:rPr>
        <w:t>Analizën krahasuese ndërkombëtare</w:t>
      </w:r>
      <w:r w:rsidRPr="00FF3226">
        <w:rPr>
          <w:rFonts w:eastAsia="Times New Roman" w:cstheme="minorHAnsi"/>
          <w:sz w:val="24"/>
          <w:szCs w:val="24"/>
          <w:lang w:val="sq-AL"/>
        </w:rPr>
        <w:t xml:space="preserve">, përmes identifikimit dhe prezantimit të praktikave të mira, modeleve dhe përvojave nga vendet e tjera që mund të shërbejnë si referencë për kontekstin e Kosovës. </w:t>
      </w:r>
    </w:p>
    <w:p w14:paraId="39A5B124" w14:textId="77777777" w:rsidR="002F2A32" w:rsidRPr="00FF3226" w:rsidRDefault="002F2A32" w:rsidP="002F2A32">
      <w:pPr>
        <w:numPr>
          <w:ilvl w:val="0"/>
          <w:numId w:val="36"/>
        </w:numPr>
        <w:spacing w:before="100" w:beforeAutospacing="1" w:after="100" w:afterAutospacing="1" w:line="240" w:lineRule="auto"/>
        <w:rPr>
          <w:rFonts w:eastAsia="Times New Roman" w:cstheme="minorHAnsi"/>
          <w:sz w:val="24"/>
          <w:szCs w:val="24"/>
          <w:lang w:val="sq-AL"/>
        </w:rPr>
      </w:pPr>
      <w:r w:rsidRPr="00FF3226">
        <w:rPr>
          <w:rFonts w:eastAsia="Times New Roman" w:cstheme="minorHAnsi"/>
          <w:b/>
          <w:bCs/>
          <w:sz w:val="24"/>
          <w:szCs w:val="24"/>
          <w:lang w:val="sq-AL"/>
        </w:rPr>
        <w:lastRenderedPageBreak/>
        <w:t>Identifikimin e boshllëqeve, sfidave dhe nevojave</w:t>
      </w:r>
      <w:r w:rsidRPr="00FF3226">
        <w:rPr>
          <w:rFonts w:eastAsia="Times New Roman" w:cstheme="minorHAnsi"/>
          <w:sz w:val="24"/>
          <w:szCs w:val="24"/>
          <w:lang w:val="sq-AL"/>
        </w:rPr>
        <w:t xml:space="preserve">, duke analizuar mospërputhjet ndërmjet kornizës ligjore dhe zbatimit në praktikë, si dhe pengesat që kufizojnë pjesëmarrjen efektive të prindërve. </w:t>
      </w:r>
    </w:p>
    <w:p w14:paraId="24897C09" w14:textId="77777777" w:rsidR="002F2A32" w:rsidRPr="00FF3226" w:rsidRDefault="002F2A32" w:rsidP="002F2A32">
      <w:pPr>
        <w:numPr>
          <w:ilvl w:val="0"/>
          <w:numId w:val="36"/>
        </w:numPr>
        <w:spacing w:before="100" w:beforeAutospacing="1" w:after="100" w:afterAutospacing="1" w:line="240" w:lineRule="auto"/>
        <w:rPr>
          <w:rFonts w:eastAsia="Times New Roman" w:cstheme="minorHAnsi"/>
          <w:sz w:val="24"/>
          <w:szCs w:val="24"/>
          <w:lang w:val="sq-AL"/>
        </w:rPr>
      </w:pPr>
      <w:r w:rsidRPr="00FF3226">
        <w:rPr>
          <w:rFonts w:eastAsia="Times New Roman" w:cstheme="minorHAnsi"/>
          <w:b/>
          <w:bCs/>
          <w:sz w:val="24"/>
          <w:szCs w:val="24"/>
          <w:lang w:val="sq-AL"/>
        </w:rPr>
        <w:t>Rekomandimet konkrete dhe të zbatueshme</w:t>
      </w:r>
      <w:r w:rsidRPr="00FF3226">
        <w:rPr>
          <w:rFonts w:eastAsia="Times New Roman" w:cstheme="minorHAnsi"/>
          <w:sz w:val="24"/>
          <w:szCs w:val="24"/>
          <w:lang w:val="sq-AL"/>
        </w:rPr>
        <w:t xml:space="preserve">, të orientuara drejt përmirësimit të politikave, legjislacionit dhe praktikave institucionale, me qëllim forcimin e angazhimit të prindërve në shkolla dhe komunitete dhe krijimin e mekanizmave më të qëndrueshëm të bashkëpunimit ndërmjet familjes, shkollës dhe institucioneve relevante. </w:t>
      </w:r>
    </w:p>
    <w:p w14:paraId="49682376" w14:textId="77777777" w:rsidR="002F2A32" w:rsidRPr="00FF3226" w:rsidRDefault="002F2A32" w:rsidP="002F2A32">
      <w:pPr>
        <w:spacing w:before="100" w:beforeAutospacing="1" w:after="100" w:afterAutospacing="1" w:line="240" w:lineRule="auto"/>
        <w:rPr>
          <w:rFonts w:eastAsia="Times New Roman" w:cstheme="minorHAnsi"/>
          <w:sz w:val="24"/>
          <w:szCs w:val="24"/>
          <w:lang w:val="sq-AL"/>
        </w:rPr>
      </w:pPr>
      <w:r w:rsidRPr="00FF3226">
        <w:rPr>
          <w:rFonts w:eastAsia="Times New Roman" w:cstheme="minorHAnsi"/>
          <w:sz w:val="24"/>
          <w:szCs w:val="24"/>
          <w:lang w:val="sq-AL"/>
        </w:rPr>
        <w:t>Raporti duhet të përfshijë gjithashtu përfundime të qarta dhe propozime për hapat e mëtejmë, duke ofruar një bazë për zhvillimin e politikave dhe ndërhyrjeve të ardhshme në këtë fushë.</w:t>
      </w:r>
    </w:p>
    <w:p w14:paraId="3AD430B4" w14:textId="70E16AB2" w:rsidR="002F070D" w:rsidRPr="00FF3226" w:rsidRDefault="002F070D" w:rsidP="00FB2C86">
      <w:pPr>
        <w:rPr>
          <w:rFonts w:cstheme="minorHAnsi"/>
          <w:bCs/>
          <w:sz w:val="28"/>
          <w:szCs w:val="28"/>
          <w:lang w:val="sq-AL"/>
        </w:rPr>
      </w:pPr>
      <w:r w:rsidRPr="00FF3226">
        <w:rPr>
          <w:rFonts w:cstheme="minorHAnsi"/>
          <w:b/>
          <w:sz w:val="28"/>
          <w:szCs w:val="28"/>
          <w:lang w:val="sq-AL"/>
        </w:rPr>
        <w:t>V</w:t>
      </w:r>
      <w:r w:rsidR="00FB2C86" w:rsidRPr="00FF3226">
        <w:rPr>
          <w:rFonts w:cstheme="minorHAnsi"/>
          <w:b/>
          <w:sz w:val="28"/>
          <w:szCs w:val="28"/>
          <w:lang w:val="sq-AL"/>
        </w:rPr>
        <w:t>I</w:t>
      </w:r>
      <w:r w:rsidRPr="00FF3226">
        <w:rPr>
          <w:rFonts w:cstheme="minorHAnsi"/>
          <w:b/>
          <w:sz w:val="28"/>
          <w:szCs w:val="28"/>
          <w:lang w:val="sq-AL"/>
        </w:rPr>
        <w:t xml:space="preserve">. Rezultatet e pritshme </w:t>
      </w:r>
    </w:p>
    <w:p w14:paraId="7844E634" w14:textId="1735DB7B" w:rsidR="004A0602" w:rsidRPr="00FF3226" w:rsidRDefault="004A0602" w:rsidP="0019172E">
      <w:pPr>
        <w:pStyle w:val="ListParagraph"/>
        <w:numPr>
          <w:ilvl w:val="0"/>
          <w:numId w:val="35"/>
        </w:numPr>
        <w:rPr>
          <w:rFonts w:cstheme="minorHAnsi"/>
          <w:bCs/>
          <w:sz w:val="24"/>
          <w:szCs w:val="24"/>
          <w:lang w:val="sq-AL"/>
        </w:rPr>
      </w:pPr>
      <w:r w:rsidRPr="00FF3226">
        <w:rPr>
          <w:rFonts w:cstheme="minorHAnsi"/>
          <w:bCs/>
          <w:sz w:val="24"/>
          <w:szCs w:val="24"/>
          <w:lang w:val="sq-AL"/>
        </w:rPr>
        <w:t xml:space="preserve">Raport analitik mbi kuadrin ligjor dhe institucional në Kosovë për angazhimin e prindërve në shkolla dhe komunitete, duke përfshirë hartëzimin e dispozitave dhe mekanizmave kryesorë ekzistues, si dhe identifikimin e boshllëqeve dhe mundësive për përmirësim; </w:t>
      </w:r>
    </w:p>
    <w:p w14:paraId="7E190528" w14:textId="1DE0EDC7" w:rsidR="004A0602" w:rsidRPr="00FF3226" w:rsidRDefault="004A0602" w:rsidP="0019172E">
      <w:pPr>
        <w:pStyle w:val="ListParagraph"/>
        <w:numPr>
          <w:ilvl w:val="0"/>
          <w:numId w:val="35"/>
        </w:numPr>
        <w:rPr>
          <w:rFonts w:cstheme="minorHAnsi"/>
          <w:bCs/>
          <w:sz w:val="24"/>
          <w:szCs w:val="24"/>
          <w:lang w:val="sq-AL"/>
        </w:rPr>
      </w:pPr>
      <w:r w:rsidRPr="00FF3226">
        <w:rPr>
          <w:rFonts w:cstheme="minorHAnsi"/>
          <w:bCs/>
          <w:sz w:val="24"/>
          <w:szCs w:val="24"/>
          <w:lang w:val="sq-AL"/>
        </w:rPr>
        <w:t xml:space="preserve">Analizë krahasuese ndërkombëtare (minimum 3 vende) mbi modelet dhe praktikat e suksesshme për forcimin e angazhimit të prindërve në sistemet arsimore; përfshirë identifikimin e praktikave të zbatueshme në kontekstin e Kosovës; </w:t>
      </w:r>
    </w:p>
    <w:p w14:paraId="3AEAF8FC" w14:textId="77777777" w:rsidR="002F2A32" w:rsidRPr="00FF3226" w:rsidRDefault="004A0602" w:rsidP="0019172E">
      <w:pPr>
        <w:pStyle w:val="ListParagraph"/>
        <w:numPr>
          <w:ilvl w:val="0"/>
          <w:numId w:val="35"/>
        </w:numPr>
        <w:rPr>
          <w:rFonts w:cstheme="minorHAnsi"/>
          <w:bCs/>
          <w:sz w:val="24"/>
          <w:szCs w:val="24"/>
          <w:lang w:val="sq-AL"/>
        </w:rPr>
      </w:pPr>
      <w:r w:rsidRPr="00FF3226">
        <w:rPr>
          <w:rFonts w:cstheme="minorHAnsi"/>
          <w:bCs/>
          <w:sz w:val="24"/>
          <w:szCs w:val="24"/>
          <w:lang w:val="sq-AL"/>
        </w:rPr>
        <w:t>Përmbledhje me rekomandime të qarta dhe të zbatueshme, të bazuara në evidencë dhe të përshtatura për kontekstin institucional dhe ligjor të Kosovës, ded</w:t>
      </w:r>
      <w:r w:rsidR="002F2A32" w:rsidRPr="00FF3226">
        <w:rPr>
          <w:rFonts w:cstheme="minorHAnsi"/>
          <w:bCs/>
          <w:sz w:val="24"/>
          <w:szCs w:val="24"/>
          <w:lang w:val="sq-AL"/>
        </w:rPr>
        <w:t>ikuar institucioneve relevante;</w:t>
      </w:r>
    </w:p>
    <w:p w14:paraId="21445E19" w14:textId="0831C446" w:rsidR="00FB2C86" w:rsidRPr="00FF3226" w:rsidRDefault="002F2A32" w:rsidP="0019172E">
      <w:pPr>
        <w:pStyle w:val="ListParagraph"/>
        <w:numPr>
          <w:ilvl w:val="0"/>
          <w:numId w:val="35"/>
        </w:numPr>
        <w:rPr>
          <w:rFonts w:cstheme="minorHAnsi"/>
          <w:bCs/>
          <w:sz w:val="24"/>
          <w:szCs w:val="24"/>
          <w:lang w:val="sq-AL"/>
        </w:rPr>
      </w:pPr>
      <w:r w:rsidRPr="00FF3226">
        <w:rPr>
          <w:rFonts w:cstheme="minorHAnsi"/>
          <w:bCs/>
          <w:sz w:val="24"/>
          <w:szCs w:val="24"/>
          <w:lang w:val="sq-AL"/>
        </w:rPr>
        <w:t>Një Policy brief, 2–4 faqe qe përmban përmbledhje ekzekutive dhe rekomandime kryesore në formë të qartë dhe të shkurtër</w:t>
      </w:r>
      <w:r w:rsidRPr="00FF3226" w:rsidDel="002F2A32">
        <w:rPr>
          <w:rFonts w:cstheme="minorHAnsi"/>
          <w:bCs/>
          <w:sz w:val="24"/>
          <w:szCs w:val="24"/>
          <w:lang w:val="sq-AL"/>
        </w:rPr>
        <w:t xml:space="preserve"> </w:t>
      </w:r>
      <w:r w:rsidRPr="00FF3226">
        <w:rPr>
          <w:rFonts w:cstheme="minorHAnsi"/>
          <w:bCs/>
          <w:sz w:val="24"/>
          <w:szCs w:val="24"/>
          <w:lang w:val="sq-AL"/>
        </w:rPr>
        <w:t>.</w:t>
      </w:r>
    </w:p>
    <w:p w14:paraId="1BBE1F27" w14:textId="65B4A397" w:rsidR="002B75D1" w:rsidRPr="00FF3226" w:rsidRDefault="002B75D1" w:rsidP="00FB2C86">
      <w:pPr>
        <w:rPr>
          <w:rFonts w:cstheme="minorHAnsi"/>
          <w:b/>
          <w:sz w:val="28"/>
          <w:szCs w:val="28"/>
          <w:lang w:val="sq-AL"/>
        </w:rPr>
      </w:pPr>
      <w:r w:rsidRPr="00FF3226">
        <w:rPr>
          <w:rFonts w:cstheme="minorHAnsi"/>
          <w:b/>
          <w:sz w:val="28"/>
          <w:szCs w:val="28"/>
          <w:lang w:val="sq-AL"/>
        </w:rPr>
        <w:t>V</w:t>
      </w:r>
      <w:r w:rsidR="002F070D" w:rsidRPr="00FF3226">
        <w:rPr>
          <w:rFonts w:cstheme="minorHAnsi"/>
          <w:b/>
          <w:sz w:val="28"/>
          <w:szCs w:val="28"/>
          <w:lang w:val="sq-AL"/>
        </w:rPr>
        <w:t>I</w:t>
      </w:r>
      <w:r w:rsidR="00B62FF6" w:rsidRPr="00FF3226">
        <w:rPr>
          <w:rFonts w:cstheme="minorHAnsi"/>
          <w:b/>
          <w:sz w:val="28"/>
          <w:szCs w:val="28"/>
          <w:lang w:val="sq-AL"/>
        </w:rPr>
        <w:t>I</w:t>
      </w:r>
      <w:r w:rsidRPr="00FF3226">
        <w:rPr>
          <w:rFonts w:cstheme="minorHAnsi"/>
          <w:b/>
          <w:sz w:val="28"/>
          <w:szCs w:val="28"/>
          <w:lang w:val="sq-AL"/>
        </w:rPr>
        <w:t>. Kualifikimi i nevojshëm:</w:t>
      </w:r>
    </w:p>
    <w:p w14:paraId="7A2FA694" w14:textId="20C8E21F" w:rsidR="00B62FF6" w:rsidRPr="00FF3226" w:rsidRDefault="00B62FF6" w:rsidP="00B62FF6">
      <w:pPr>
        <w:pStyle w:val="ListParagraph"/>
        <w:numPr>
          <w:ilvl w:val="0"/>
          <w:numId w:val="29"/>
        </w:numPr>
        <w:rPr>
          <w:rFonts w:cstheme="minorHAnsi"/>
          <w:sz w:val="24"/>
          <w:szCs w:val="24"/>
          <w:lang w:val="sq-AL"/>
        </w:rPr>
      </w:pPr>
      <w:r w:rsidRPr="00FF3226">
        <w:rPr>
          <w:rFonts w:cstheme="minorHAnsi"/>
          <w:sz w:val="24"/>
          <w:szCs w:val="24"/>
          <w:lang w:val="sq-AL"/>
        </w:rPr>
        <w:t>Diplomë universitare në juridik, politika publike ose shkenca sociale</w:t>
      </w:r>
      <w:r w:rsidR="00BB6AA9" w:rsidRPr="00FF3226">
        <w:rPr>
          <w:rFonts w:cstheme="minorHAnsi"/>
          <w:sz w:val="24"/>
          <w:szCs w:val="24"/>
          <w:lang w:val="sq-AL"/>
        </w:rPr>
        <w:t xml:space="preserve"> edukim ose fusha të ngjashme</w:t>
      </w:r>
      <w:r w:rsidRPr="00FF3226">
        <w:rPr>
          <w:rFonts w:cstheme="minorHAnsi"/>
          <w:sz w:val="24"/>
          <w:szCs w:val="24"/>
          <w:lang w:val="sq-AL"/>
        </w:rPr>
        <w:t>;</w:t>
      </w:r>
    </w:p>
    <w:p w14:paraId="1116620C" w14:textId="685701DD" w:rsidR="00B62FF6" w:rsidRPr="00FF3226" w:rsidRDefault="00B62FF6" w:rsidP="00B62FF6">
      <w:pPr>
        <w:pStyle w:val="ListParagraph"/>
        <w:numPr>
          <w:ilvl w:val="0"/>
          <w:numId w:val="29"/>
        </w:numPr>
        <w:rPr>
          <w:rFonts w:cstheme="minorHAnsi"/>
          <w:sz w:val="24"/>
          <w:szCs w:val="24"/>
          <w:lang w:val="sq-AL"/>
        </w:rPr>
      </w:pPr>
      <w:r w:rsidRPr="00FF3226">
        <w:rPr>
          <w:rFonts w:cstheme="minorHAnsi"/>
          <w:sz w:val="24"/>
          <w:szCs w:val="24"/>
          <w:lang w:val="sq-AL"/>
        </w:rPr>
        <w:t>Minimum 5 vite përvojë në analiza ligjore dhe politika publike</w:t>
      </w:r>
      <w:r w:rsidR="00204D19" w:rsidRPr="00FF3226">
        <w:rPr>
          <w:rFonts w:cstheme="minorHAnsi"/>
          <w:sz w:val="24"/>
          <w:szCs w:val="24"/>
          <w:lang w:val="sq-AL"/>
        </w:rPr>
        <w:t>, me fokus në fushën e arsimit dhe të drejtave të fëmijëve</w:t>
      </w:r>
      <w:r w:rsidRPr="00FF3226">
        <w:rPr>
          <w:rFonts w:cstheme="minorHAnsi"/>
          <w:sz w:val="24"/>
          <w:szCs w:val="24"/>
          <w:lang w:val="sq-AL"/>
        </w:rPr>
        <w:t>;</w:t>
      </w:r>
    </w:p>
    <w:p w14:paraId="22BC1797" w14:textId="39CE7F37" w:rsidR="00B62FF6" w:rsidRPr="00FF3226" w:rsidRDefault="00B62FF6" w:rsidP="00B62FF6">
      <w:pPr>
        <w:pStyle w:val="ListParagraph"/>
        <w:numPr>
          <w:ilvl w:val="0"/>
          <w:numId w:val="29"/>
        </w:numPr>
        <w:rPr>
          <w:rFonts w:cstheme="minorHAnsi"/>
          <w:sz w:val="24"/>
          <w:szCs w:val="24"/>
          <w:lang w:val="sq-AL"/>
        </w:rPr>
      </w:pPr>
      <w:r w:rsidRPr="00FF3226">
        <w:rPr>
          <w:rFonts w:cstheme="minorHAnsi"/>
          <w:sz w:val="24"/>
          <w:szCs w:val="24"/>
          <w:lang w:val="sq-AL"/>
        </w:rPr>
        <w:t xml:space="preserve">Përvojë </w:t>
      </w:r>
      <w:r w:rsidR="00204D19" w:rsidRPr="00FF3226">
        <w:rPr>
          <w:rFonts w:cstheme="minorHAnsi"/>
          <w:sz w:val="24"/>
          <w:szCs w:val="24"/>
          <w:lang w:val="sq-AL"/>
        </w:rPr>
        <w:t xml:space="preserve">e dëshmuar </w:t>
      </w:r>
      <w:r w:rsidRPr="00FF3226">
        <w:rPr>
          <w:rFonts w:cstheme="minorHAnsi"/>
          <w:sz w:val="24"/>
          <w:szCs w:val="24"/>
          <w:lang w:val="sq-AL"/>
        </w:rPr>
        <w:t>në fushën e arsimit ose mbrojtjes së fëmijëve</w:t>
      </w:r>
      <w:r w:rsidR="00204D19" w:rsidRPr="00FF3226">
        <w:rPr>
          <w:rFonts w:cstheme="minorHAnsi"/>
          <w:sz w:val="24"/>
          <w:szCs w:val="24"/>
          <w:lang w:val="sq-AL"/>
        </w:rPr>
        <w:t>, përfshirë njohuri praktike mbi funksionimin e institucioneve arsimore dhe ndërveprimin shkollë–komunitet;</w:t>
      </w:r>
    </w:p>
    <w:p w14:paraId="24E1BC4C" w14:textId="63632DEF" w:rsidR="00B62FF6" w:rsidRPr="00FF3226" w:rsidRDefault="00B62FF6" w:rsidP="00B62FF6">
      <w:pPr>
        <w:pStyle w:val="ListParagraph"/>
        <w:numPr>
          <w:ilvl w:val="0"/>
          <w:numId w:val="29"/>
        </w:numPr>
        <w:rPr>
          <w:rFonts w:cstheme="minorHAnsi"/>
          <w:sz w:val="24"/>
          <w:szCs w:val="24"/>
          <w:lang w:val="sq-AL"/>
        </w:rPr>
      </w:pPr>
      <w:r w:rsidRPr="00FF3226">
        <w:rPr>
          <w:rFonts w:cstheme="minorHAnsi"/>
          <w:sz w:val="24"/>
          <w:szCs w:val="24"/>
          <w:lang w:val="sq-AL"/>
        </w:rPr>
        <w:t>Aftësi të shkëlqyera analitike dhe raportuese;</w:t>
      </w:r>
    </w:p>
    <w:p w14:paraId="4832C657" w14:textId="495F6662" w:rsidR="0033735F" w:rsidRPr="00FF3226" w:rsidRDefault="00204D19" w:rsidP="00B62FF6">
      <w:pPr>
        <w:pStyle w:val="ListParagraph"/>
        <w:numPr>
          <w:ilvl w:val="0"/>
          <w:numId w:val="29"/>
        </w:numPr>
        <w:rPr>
          <w:rFonts w:cstheme="minorHAnsi"/>
          <w:sz w:val="24"/>
          <w:szCs w:val="24"/>
          <w:lang w:val="sq-AL"/>
        </w:rPr>
      </w:pPr>
      <w:r w:rsidRPr="00FF3226">
        <w:rPr>
          <w:rFonts w:cstheme="minorHAnsi"/>
          <w:sz w:val="24"/>
          <w:szCs w:val="24"/>
          <w:lang w:val="sq-AL"/>
        </w:rPr>
        <w:t>Njohuri të avancuara të sistemit ligjor dhe institucional të Kosovës, veçanërisht të legjislacionit dhe politikave në fushën e arsimit, si dhe mekanizmave të zbatimit në nivel qendror dhe lokal;</w:t>
      </w:r>
      <w:r w:rsidR="0033735F" w:rsidRPr="00FF3226">
        <w:rPr>
          <w:rFonts w:cstheme="minorHAnsi"/>
          <w:sz w:val="24"/>
          <w:szCs w:val="24"/>
          <w:lang w:val="sq-AL"/>
        </w:rPr>
        <w:t>Përvojë në hartimin e rekomandimeve për politika publike ose instrumente normative (udhëzime administrative, rregullore ose politika sektoriale), me aftësi për t’i përkthyer gjetjet analitike në masa konkrete dhe të zbatueshme për institucionet relevante;</w:t>
      </w:r>
    </w:p>
    <w:p w14:paraId="066E0CC8" w14:textId="748A8DDF" w:rsidR="00B62FF6" w:rsidRPr="00FF3226" w:rsidRDefault="00B62FF6" w:rsidP="00B62FF6">
      <w:pPr>
        <w:pStyle w:val="ListParagraph"/>
        <w:numPr>
          <w:ilvl w:val="0"/>
          <w:numId w:val="29"/>
        </w:numPr>
        <w:rPr>
          <w:rFonts w:cstheme="minorHAnsi"/>
          <w:sz w:val="24"/>
          <w:szCs w:val="24"/>
          <w:lang w:val="sq-AL"/>
        </w:rPr>
      </w:pPr>
      <w:r w:rsidRPr="00FF3226">
        <w:rPr>
          <w:rFonts w:cstheme="minorHAnsi"/>
          <w:sz w:val="24"/>
          <w:szCs w:val="24"/>
          <w:lang w:val="sq-AL"/>
        </w:rPr>
        <w:t>Njohuri shumë të mira të gjuhës shqipe dhe angleze.</w:t>
      </w:r>
    </w:p>
    <w:p w14:paraId="0772DD2B" w14:textId="46ED1339" w:rsidR="002B75D1" w:rsidRPr="00FF3226" w:rsidRDefault="002F070D" w:rsidP="00B62FF6">
      <w:pPr>
        <w:rPr>
          <w:rFonts w:cstheme="minorHAnsi"/>
          <w:b/>
          <w:sz w:val="28"/>
          <w:szCs w:val="28"/>
          <w:lang w:val="sq-AL"/>
        </w:rPr>
      </w:pPr>
      <w:r w:rsidRPr="00FF3226">
        <w:rPr>
          <w:rFonts w:cstheme="minorHAnsi"/>
          <w:b/>
          <w:sz w:val="28"/>
          <w:szCs w:val="28"/>
          <w:lang w:val="sq-AL"/>
        </w:rPr>
        <w:lastRenderedPageBreak/>
        <w:t>VI</w:t>
      </w:r>
      <w:r w:rsidR="00B62FF6" w:rsidRPr="00FF3226">
        <w:rPr>
          <w:rFonts w:cstheme="minorHAnsi"/>
          <w:b/>
          <w:sz w:val="28"/>
          <w:szCs w:val="28"/>
          <w:lang w:val="sq-AL"/>
        </w:rPr>
        <w:t>I</w:t>
      </w:r>
      <w:r w:rsidRPr="00FF3226">
        <w:rPr>
          <w:rFonts w:cstheme="minorHAnsi"/>
          <w:b/>
          <w:sz w:val="28"/>
          <w:szCs w:val="28"/>
          <w:lang w:val="sq-AL"/>
        </w:rPr>
        <w:t>I</w:t>
      </w:r>
      <w:r w:rsidR="002B75D1" w:rsidRPr="00FF3226">
        <w:rPr>
          <w:rFonts w:cstheme="minorHAnsi"/>
          <w:b/>
          <w:sz w:val="28"/>
          <w:szCs w:val="28"/>
          <w:lang w:val="sq-AL"/>
        </w:rPr>
        <w:t>. Detyrat dhe Përgjegjësitë:</w:t>
      </w:r>
    </w:p>
    <w:p w14:paraId="1BD16505" w14:textId="63A0CDDB" w:rsidR="00B62FF6" w:rsidRPr="00FF3226" w:rsidRDefault="00B62FF6" w:rsidP="00B62FF6">
      <w:pPr>
        <w:rPr>
          <w:rFonts w:cstheme="minorHAnsi"/>
          <w:sz w:val="24"/>
          <w:szCs w:val="24"/>
          <w:lang w:val="sq-AL"/>
        </w:rPr>
      </w:pPr>
      <w:r w:rsidRPr="00FF3226">
        <w:rPr>
          <w:rFonts w:cstheme="minorHAnsi"/>
          <w:sz w:val="24"/>
          <w:szCs w:val="24"/>
          <w:lang w:val="sq-AL"/>
        </w:rPr>
        <w:t>Eksperti/ja do të:</w:t>
      </w:r>
    </w:p>
    <w:p w14:paraId="4B1D1EE6" w14:textId="6BE7A1C7" w:rsidR="00B62FF6" w:rsidRPr="00FF3226" w:rsidRDefault="00B62FF6" w:rsidP="00B62FF6">
      <w:pPr>
        <w:pStyle w:val="ListParagraph"/>
        <w:numPr>
          <w:ilvl w:val="0"/>
          <w:numId w:val="31"/>
        </w:numPr>
        <w:rPr>
          <w:rFonts w:cstheme="minorHAnsi"/>
          <w:sz w:val="24"/>
          <w:szCs w:val="24"/>
          <w:lang w:val="sq-AL"/>
        </w:rPr>
      </w:pPr>
      <w:r w:rsidRPr="00FF3226">
        <w:rPr>
          <w:rFonts w:cstheme="minorHAnsi"/>
          <w:sz w:val="24"/>
          <w:szCs w:val="24"/>
          <w:lang w:val="sq-AL"/>
        </w:rPr>
        <w:t xml:space="preserve">Hartojë </w:t>
      </w:r>
      <w:r w:rsidR="009E6DC2" w:rsidRPr="00FF3226">
        <w:rPr>
          <w:rFonts w:cstheme="minorHAnsi"/>
          <w:sz w:val="24"/>
          <w:szCs w:val="24"/>
          <w:lang w:val="sq-AL"/>
        </w:rPr>
        <w:t xml:space="preserve">dhe zbatoj </w:t>
      </w:r>
      <w:r w:rsidRPr="00FF3226">
        <w:rPr>
          <w:rFonts w:cstheme="minorHAnsi"/>
          <w:sz w:val="24"/>
          <w:szCs w:val="24"/>
          <w:lang w:val="sq-AL"/>
        </w:rPr>
        <w:t>metodologjinë e punës</w:t>
      </w:r>
      <w:r w:rsidR="009E6DC2" w:rsidRPr="00FF3226">
        <w:rPr>
          <w:rFonts w:cstheme="minorHAnsi"/>
          <w:sz w:val="24"/>
          <w:szCs w:val="24"/>
          <w:lang w:val="sq-AL"/>
        </w:rPr>
        <w:t>, duke siguruar një qasje gjithëpërfshirëse dhe të balancuar që integron perspektivat e akterëve relevantë (përfshirë prindërit, shkollat dhe institucionet e tjera përgjegjëse),</w:t>
      </w:r>
    </w:p>
    <w:p w14:paraId="3417D5A3" w14:textId="77777777" w:rsidR="009E6DC2" w:rsidRPr="00FF3226" w:rsidRDefault="009E6DC2" w:rsidP="00B62FF6">
      <w:pPr>
        <w:pStyle w:val="ListParagraph"/>
        <w:numPr>
          <w:ilvl w:val="0"/>
          <w:numId w:val="31"/>
        </w:numPr>
        <w:rPr>
          <w:rFonts w:cstheme="minorHAnsi"/>
          <w:sz w:val="24"/>
          <w:szCs w:val="24"/>
          <w:lang w:val="sq-AL"/>
        </w:rPr>
      </w:pPr>
      <w:r w:rsidRPr="00FF3226">
        <w:rPr>
          <w:rFonts w:cstheme="minorHAnsi"/>
          <w:sz w:val="24"/>
          <w:szCs w:val="24"/>
          <w:lang w:val="sq-AL"/>
        </w:rPr>
        <w:t>Raportin përfundimtar të analizës, i cili përmbledh kuadrin ligjor dhe institucional në Kosovë, analizën krahasuese ndërkombëtare, si dhe gjetjet kryesore lidhur me nevojat, boshllëqet dhe praktikat mbështetëse për angazhimin e prindërve në shkolla dhe komunitete;</w:t>
      </w:r>
    </w:p>
    <w:p w14:paraId="674D0124" w14:textId="4F203B1F" w:rsidR="009E6DC2" w:rsidRPr="00FF3226" w:rsidRDefault="009E6DC2" w:rsidP="009E6DC2">
      <w:pPr>
        <w:pStyle w:val="ListParagraph"/>
        <w:numPr>
          <w:ilvl w:val="0"/>
          <w:numId w:val="31"/>
        </w:numPr>
        <w:rPr>
          <w:rFonts w:cstheme="minorHAnsi"/>
          <w:sz w:val="24"/>
          <w:szCs w:val="24"/>
          <w:lang w:val="sq-AL"/>
        </w:rPr>
      </w:pPr>
      <w:r w:rsidRPr="00FF3226">
        <w:rPr>
          <w:rFonts w:cstheme="minorHAnsi"/>
          <w:sz w:val="24"/>
          <w:szCs w:val="24"/>
          <w:lang w:val="sq-AL"/>
        </w:rPr>
        <w:t xml:space="preserve">Të ofroj rekomandime të qarta dhe të zbatueshme, të bazuara në evidencë dhe të përshtatura për kontekstin institucional dhe ligjor të Kosovës, dedikuar institucioneve relevante; </w:t>
      </w:r>
    </w:p>
    <w:p w14:paraId="67E5C832" w14:textId="00867813" w:rsidR="009E6DC2" w:rsidRPr="00FF3226" w:rsidRDefault="009E6DC2" w:rsidP="009E6DC2">
      <w:pPr>
        <w:pStyle w:val="ListParagraph"/>
        <w:numPr>
          <w:ilvl w:val="0"/>
          <w:numId w:val="31"/>
        </w:numPr>
        <w:rPr>
          <w:rFonts w:cstheme="minorHAnsi"/>
          <w:sz w:val="24"/>
          <w:szCs w:val="24"/>
          <w:lang w:val="sq-AL"/>
        </w:rPr>
      </w:pPr>
      <w:r w:rsidRPr="00FF3226">
        <w:rPr>
          <w:rFonts w:cstheme="minorHAnsi"/>
          <w:sz w:val="24"/>
          <w:szCs w:val="24"/>
          <w:lang w:val="sq-AL"/>
        </w:rPr>
        <w:t>Realizojë konsultime me akterë relevantë, sipas nevojës, gjatë procesit të analizës;</w:t>
      </w:r>
    </w:p>
    <w:p w14:paraId="62D93BCA" w14:textId="77777777" w:rsidR="00CD4E93" w:rsidRPr="00FF3226" w:rsidRDefault="009E6DC2" w:rsidP="00CD4E93">
      <w:pPr>
        <w:pStyle w:val="ListParagraph"/>
        <w:numPr>
          <w:ilvl w:val="0"/>
          <w:numId w:val="31"/>
        </w:numPr>
        <w:rPr>
          <w:rFonts w:cstheme="minorHAnsi"/>
          <w:sz w:val="24"/>
          <w:szCs w:val="24"/>
          <w:lang w:val="sq-AL"/>
        </w:rPr>
      </w:pPr>
      <w:r w:rsidRPr="00FF3226">
        <w:rPr>
          <w:rFonts w:cstheme="minorHAnsi"/>
          <w:sz w:val="24"/>
          <w:szCs w:val="24"/>
          <w:lang w:val="sq-AL"/>
        </w:rPr>
        <w:t>Integrojë komentet dhe inputet e pranuara nga palët relevante gjatë procesit të rishikimit;</w:t>
      </w:r>
    </w:p>
    <w:p w14:paraId="120A6B74" w14:textId="43D7CA8E" w:rsidR="00CD4E93" w:rsidRPr="00FF3226" w:rsidRDefault="00CD4E93" w:rsidP="00CD4E93">
      <w:pPr>
        <w:pStyle w:val="ListParagraph"/>
        <w:numPr>
          <w:ilvl w:val="0"/>
          <w:numId w:val="31"/>
        </w:numPr>
        <w:rPr>
          <w:rFonts w:cstheme="minorHAnsi"/>
          <w:sz w:val="24"/>
          <w:szCs w:val="24"/>
          <w:lang w:val="sq-AL"/>
        </w:rPr>
      </w:pPr>
      <w:r w:rsidRPr="00FF3226">
        <w:rPr>
          <w:rFonts w:cstheme="minorHAnsi"/>
          <w:sz w:val="24"/>
          <w:szCs w:val="24"/>
          <w:lang w:val="sq-AL"/>
        </w:rPr>
        <w:t>Koordinim të ngushtë me SIV gjatë gjithë procesit të angazhimit për të siguruar që metodologjia e punës është e përshtatshme, gjithëpërfshirëse dhe në përputhje me kërkesat e këtij ToR,. Gjithashtu, do të mbështesë dokumentimin e procesit të analizës përmes mbledhjes dhe sistematizimit të të dhënave relevante, përfshirjes së inputeve nga konsultimet me akterët relevantë, si dhe përgatitjes së raportit përfundimtar të konsulencës që përmbledh gjetjet kryesore dhe rekomandimet.</w:t>
      </w:r>
    </w:p>
    <w:p w14:paraId="2D5EF7DD" w14:textId="3DEA43A3" w:rsidR="00CD4E93" w:rsidRPr="00FF3226" w:rsidRDefault="00CD4E93" w:rsidP="009E6DC2">
      <w:pPr>
        <w:pStyle w:val="ListParagraph"/>
        <w:numPr>
          <w:ilvl w:val="0"/>
          <w:numId w:val="31"/>
        </w:numPr>
        <w:rPr>
          <w:rFonts w:cstheme="minorHAnsi"/>
          <w:sz w:val="24"/>
          <w:szCs w:val="24"/>
          <w:lang w:val="sq-AL"/>
        </w:rPr>
      </w:pPr>
      <w:r w:rsidRPr="00FF3226">
        <w:rPr>
          <w:rFonts w:cstheme="minorHAnsi"/>
          <w:sz w:val="24"/>
          <w:szCs w:val="24"/>
          <w:lang w:val="sq-AL"/>
        </w:rPr>
        <w:t>Përgatisë dhe dorëzojë raportin përfundimtar të konsulencës dhe dokumentet përkatëse sipas këtij ToR.</w:t>
      </w:r>
    </w:p>
    <w:p w14:paraId="2DAA4438" w14:textId="075493EC" w:rsidR="002B75D1" w:rsidRPr="00FF3226" w:rsidRDefault="002F070D" w:rsidP="00B62FF6">
      <w:pPr>
        <w:rPr>
          <w:rFonts w:cstheme="minorHAnsi"/>
          <w:b/>
          <w:sz w:val="28"/>
          <w:szCs w:val="28"/>
          <w:lang w:val="sq-AL"/>
        </w:rPr>
      </w:pPr>
      <w:r w:rsidRPr="00FF3226">
        <w:rPr>
          <w:rFonts w:cstheme="minorHAnsi"/>
          <w:b/>
          <w:sz w:val="28"/>
          <w:szCs w:val="28"/>
          <w:lang w:val="sq-AL"/>
        </w:rPr>
        <w:t>I</w:t>
      </w:r>
      <w:r w:rsidR="00B62FF6" w:rsidRPr="00FF3226">
        <w:rPr>
          <w:rFonts w:cstheme="minorHAnsi"/>
          <w:b/>
          <w:sz w:val="28"/>
          <w:szCs w:val="28"/>
          <w:lang w:val="sq-AL"/>
        </w:rPr>
        <w:t>X</w:t>
      </w:r>
      <w:r w:rsidR="002B75D1" w:rsidRPr="00FF3226">
        <w:rPr>
          <w:rFonts w:cstheme="minorHAnsi"/>
          <w:b/>
          <w:sz w:val="28"/>
          <w:szCs w:val="28"/>
          <w:lang w:val="sq-AL"/>
        </w:rPr>
        <w:t xml:space="preserve">. Angazhimi i </w:t>
      </w:r>
      <w:r w:rsidRPr="00FF3226">
        <w:rPr>
          <w:rFonts w:cstheme="minorHAnsi"/>
          <w:b/>
          <w:sz w:val="28"/>
          <w:szCs w:val="28"/>
          <w:lang w:val="sq-AL"/>
        </w:rPr>
        <w:t>Trajnerit</w:t>
      </w:r>
      <w:r w:rsidR="002B75D1" w:rsidRPr="00FF3226">
        <w:rPr>
          <w:rFonts w:cstheme="minorHAnsi"/>
          <w:b/>
          <w:sz w:val="28"/>
          <w:szCs w:val="28"/>
          <w:lang w:val="sq-AL"/>
        </w:rPr>
        <w:t>/es:</w:t>
      </w:r>
    </w:p>
    <w:p w14:paraId="7807F58D" w14:textId="0792090E" w:rsidR="002B75D1" w:rsidRPr="00FF3226" w:rsidDel="009E3774" w:rsidRDefault="00513794" w:rsidP="002B75D1">
      <w:pPr>
        <w:rPr>
          <w:rFonts w:cstheme="minorHAnsi"/>
          <w:sz w:val="24"/>
          <w:szCs w:val="24"/>
          <w:lang w:val="sq-AL"/>
        </w:rPr>
      </w:pPr>
      <w:r w:rsidRPr="00FF3226">
        <w:rPr>
          <w:rFonts w:cstheme="minorHAnsi"/>
          <w:sz w:val="24"/>
          <w:szCs w:val="24"/>
          <w:lang w:val="sq-AL"/>
        </w:rPr>
        <w:t>Trajneri</w:t>
      </w:r>
      <w:r w:rsidR="002B75D1" w:rsidRPr="00FF3226">
        <w:rPr>
          <w:rFonts w:cstheme="minorHAnsi"/>
          <w:sz w:val="24"/>
          <w:szCs w:val="24"/>
          <w:lang w:val="sq-AL"/>
        </w:rPr>
        <w:t xml:space="preserve">/ja do të angazhohet me anë të një kontrate për shërbim me Syri i Vizionit- nën koordinimin e Menaxherit të Financave dhe Administratës. Në këtë kontratë do të përcaktohen në mënyrë specifike pikat të cilat nuk janë të përfshira në këtë dokument. Angazhimi do të bëhet gjatë muajit </w:t>
      </w:r>
      <w:r w:rsidR="0019172E" w:rsidRPr="00FF3226">
        <w:rPr>
          <w:rFonts w:cstheme="minorHAnsi"/>
          <w:sz w:val="24"/>
          <w:szCs w:val="24"/>
          <w:lang w:val="sq-AL"/>
        </w:rPr>
        <w:t>Korrik dhe Gusht</w:t>
      </w:r>
      <w:r w:rsidR="002B75D1" w:rsidRPr="00FF3226">
        <w:rPr>
          <w:rFonts w:cstheme="minorHAnsi"/>
          <w:sz w:val="24"/>
          <w:szCs w:val="24"/>
          <w:lang w:val="sq-AL"/>
        </w:rPr>
        <w:t xml:space="preserve"> në bazë ditore, ku do të përfshihen aktivitetet e mëposhtme:</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1"/>
        <w:gridCol w:w="3516"/>
        <w:gridCol w:w="1408"/>
      </w:tblGrid>
      <w:tr w:rsidR="0019172E" w:rsidRPr="00FF3226" w14:paraId="518A1D8A" w14:textId="36FC6CF0" w:rsidTr="00FF3226">
        <w:trPr>
          <w:trHeight w:val="288"/>
        </w:trPr>
        <w:tc>
          <w:tcPr>
            <w:tcW w:w="4701" w:type="dxa"/>
            <w:shd w:val="clear" w:color="auto" w:fill="F2F2F2" w:themeFill="background1" w:themeFillShade="F2"/>
            <w:noWrap/>
            <w:vAlign w:val="bottom"/>
            <w:hideMark/>
          </w:tcPr>
          <w:p w14:paraId="6B222EA1" w14:textId="77777777" w:rsidR="0019172E" w:rsidRPr="00FF3226" w:rsidRDefault="0019172E">
            <w:pPr>
              <w:rPr>
                <w:rFonts w:cstheme="minorHAnsi"/>
                <w:b/>
                <w:bCs/>
                <w:sz w:val="24"/>
                <w:szCs w:val="24"/>
                <w:lang w:val="sq-AL"/>
              </w:rPr>
            </w:pPr>
            <w:r w:rsidRPr="00FF3226">
              <w:rPr>
                <w:rFonts w:cstheme="minorHAnsi"/>
                <w:b/>
                <w:bCs/>
                <w:sz w:val="24"/>
                <w:szCs w:val="24"/>
                <w:lang w:val="sq-AL"/>
              </w:rPr>
              <w:t>Aktiviteti</w:t>
            </w:r>
          </w:p>
        </w:tc>
        <w:tc>
          <w:tcPr>
            <w:tcW w:w="3516" w:type="dxa"/>
            <w:shd w:val="clear" w:color="auto" w:fill="F2F2F2" w:themeFill="background1" w:themeFillShade="F2"/>
            <w:noWrap/>
            <w:vAlign w:val="bottom"/>
            <w:hideMark/>
          </w:tcPr>
          <w:p w14:paraId="1963C04A" w14:textId="77777777" w:rsidR="0019172E" w:rsidRPr="00FF3226" w:rsidRDefault="0019172E">
            <w:pPr>
              <w:rPr>
                <w:rFonts w:cstheme="minorHAnsi"/>
                <w:b/>
                <w:bCs/>
                <w:sz w:val="24"/>
                <w:szCs w:val="24"/>
                <w:lang w:val="sq-AL"/>
              </w:rPr>
            </w:pPr>
            <w:r w:rsidRPr="00FF3226">
              <w:rPr>
                <w:rFonts w:cstheme="minorHAnsi"/>
                <w:b/>
                <w:bCs/>
                <w:sz w:val="24"/>
                <w:szCs w:val="24"/>
                <w:lang w:val="sq-AL"/>
              </w:rPr>
              <w:t>Produkti (Deliverable)</w:t>
            </w:r>
          </w:p>
        </w:tc>
        <w:tc>
          <w:tcPr>
            <w:tcW w:w="1408" w:type="dxa"/>
            <w:shd w:val="clear" w:color="auto" w:fill="F2F2F2" w:themeFill="background1" w:themeFillShade="F2"/>
            <w:noWrap/>
            <w:vAlign w:val="bottom"/>
            <w:hideMark/>
          </w:tcPr>
          <w:p w14:paraId="22D49CA5" w14:textId="77777777" w:rsidR="0019172E" w:rsidRPr="00FF3226" w:rsidRDefault="0019172E">
            <w:pPr>
              <w:rPr>
                <w:rFonts w:cstheme="minorHAnsi"/>
                <w:b/>
                <w:bCs/>
                <w:sz w:val="24"/>
                <w:szCs w:val="24"/>
                <w:lang w:val="sq-AL"/>
              </w:rPr>
            </w:pPr>
            <w:r w:rsidRPr="00FF3226">
              <w:rPr>
                <w:rFonts w:cstheme="minorHAnsi"/>
                <w:b/>
                <w:bCs/>
                <w:sz w:val="24"/>
                <w:szCs w:val="24"/>
                <w:lang w:val="sq-AL"/>
              </w:rPr>
              <w:t>Nr. i ditëve</w:t>
            </w:r>
          </w:p>
        </w:tc>
      </w:tr>
      <w:tr w:rsidR="0019172E" w:rsidRPr="00FF3226" w14:paraId="44927111" w14:textId="77777777" w:rsidTr="00FF3226">
        <w:trPr>
          <w:trHeight w:val="288"/>
        </w:trPr>
        <w:tc>
          <w:tcPr>
            <w:tcW w:w="4701" w:type="dxa"/>
            <w:noWrap/>
            <w:vAlign w:val="bottom"/>
            <w:hideMark/>
          </w:tcPr>
          <w:p w14:paraId="3A9C086E"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Takimi fillestar, shqyrtimi i ToR-it dhe hartimi i metodologjisë së punës</w:t>
            </w:r>
          </w:p>
        </w:tc>
        <w:tc>
          <w:tcPr>
            <w:tcW w:w="3516" w:type="dxa"/>
            <w:noWrap/>
            <w:vAlign w:val="bottom"/>
            <w:hideMark/>
          </w:tcPr>
          <w:p w14:paraId="0EFC40E0"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Metodologjia e punës dhe plani i detajuar i analizës</w:t>
            </w:r>
          </w:p>
        </w:tc>
        <w:tc>
          <w:tcPr>
            <w:tcW w:w="1408" w:type="dxa"/>
            <w:noWrap/>
            <w:vAlign w:val="bottom"/>
            <w:hideMark/>
          </w:tcPr>
          <w:p w14:paraId="7E518DD7"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1</w:t>
            </w:r>
          </w:p>
        </w:tc>
      </w:tr>
      <w:tr w:rsidR="0019172E" w:rsidRPr="00FF3226" w14:paraId="75C4EDDF" w14:textId="77777777" w:rsidTr="00FF3226">
        <w:trPr>
          <w:trHeight w:val="288"/>
        </w:trPr>
        <w:tc>
          <w:tcPr>
            <w:tcW w:w="4701" w:type="dxa"/>
            <w:noWrap/>
            <w:vAlign w:val="bottom"/>
            <w:hideMark/>
          </w:tcPr>
          <w:p w14:paraId="41087BEE"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Rishikimi i literaturës dhe analiza e kornizës ligjore dhe institucionale në Kosovë</w:t>
            </w:r>
          </w:p>
        </w:tc>
        <w:tc>
          <w:tcPr>
            <w:tcW w:w="3516" w:type="dxa"/>
            <w:noWrap/>
            <w:vAlign w:val="bottom"/>
            <w:hideMark/>
          </w:tcPr>
          <w:p w14:paraId="7D8742BB"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Dokument pune me hartëzimin e kuadrit ligjor dhe institucional</w:t>
            </w:r>
          </w:p>
        </w:tc>
        <w:tc>
          <w:tcPr>
            <w:tcW w:w="1408" w:type="dxa"/>
            <w:noWrap/>
            <w:vAlign w:val="bottom"/>
            <w:hideMark/>
          </w:tcPr>
          <w:p w14:paraId="49180801"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4</w:t>
            </w:r>
          </w:p>
        </w:tc>
      </w:tr>
      <w:tr w:rsidR="0019172E" w:rsidRPr="00FF3226" w14:paraId="3A2D3A68" w14:textId="77777777" w:rsidTr="00FF3226">
        <w:trPr>
          <w:trHeight w:val="288"/>
        </w:trPr>
        <w:tc>
          <w:tcPr>
            <w:tcW w:w="4701" w:type="dxa"/>
            <w:noWrap/>
            <w:vAlign w:val="bottom"/>
            <w:hideMark/>
          </w:tcPr>
          <w:p w14:paraId="1EE67994"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Analiza krahasuese ndërkombëtare (minimum 3 vende) dhe identifikimi i praktikave të mira</w:t>
            </w:r>
          </w:p>
        </w:tc>
        <w:tc>
          <w:tcPr>
            <w:tcW w:w="3516" w:type="dxa"/>
            <w:noWrap/>
            <w:vAlign w:val="bottom"/>
            <w:hideMark/>
          </w:tcPr>
          <w:p w14:paraId="0AD2D618"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Dokument analitik krahasues me praktikat e aplikueshme për Kosovën</w:t>
            </w:r>
          </w:p>
        </w:tc>
        <w:tc>
          <w:tcPr>
            <w:tcW w:w="1408" w:type="dxa"/>
            <w:noWrap/>
            <w:vAlign w:val="bottom"/>
            <w:hideMark/>
          </w:tcPr>
          <w:p w14:paraId="556C1A74"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3</w:t>
            </w:r>
          </w:p>
        </w:tc>
      </w:tr>
      <w:tr w:rsidR="0019172E" w:rsidRPr="00FF3226" w14:paraId="6E3C1CD2" w14:textId="77777777" w:rsidTr="00FF3226">
        <w:trPr>
          <w:trHeight w:val="288"/>
        </w:trPr>
        <w:tc>
          <w:tcPr>
            <w:tcW w:w="4701" w:type="dxa"/>
            <w:noWrap/>
            <w:vAlign w:val="bottom"/>
            <w:hideMark/>
          </w:tcPr>
          <w:p w14:paraId="74267A93"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lastRenderedPageBreak/>
              <w:t>Konsultime me akterët relevantë dhe integrimi i inputeve</w:t>
            </w:r>
          </w:p>
        </w:tc>
        <w:tc>
          <w:tcPr>
            <w:tcW w:w="3516" w:type="dxa"/>
            <w:noWrap/>
            <w:vAlign w:val="bottom"/>
            <w:hideMark/>
          </w:tcPr>
          <w:p w14:paraId="03394E98"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Përmbledhje e gjetjeve nga konsultimet dhe rekomandimet paraprake</w:t>
            </w:r>
          </w:p>
        </w:tc>
        <w:tc>
          <w:tcPr>
            <w:tcW w:w="1408" w:type="dxa"/>
            <w:noWrap/>
            <w:vAlign w:val="bottom"/>
            <w:hideMark/>
          </w:tcPr>
          <w:p w14:paraId="4888D3FE"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2</w:t>
            </w:r>
          </w:p>
        </w:tc>
      </w:tr>
      <w:tr w:rsidR="0019172E" w:rsidRPr="00FF3226" w14:paraId="1D307F2E" w14:textId="77777777" w:rsidTr="00FF3226">
        <w:trPr>
          <w:trHeight w:val="288"/>
        </w:trPr>
        <w:tc>
          <w:tcPr>
            <w:tcW w:w="4701" w:type="dxa"/>
            <w:noWrap/>
            <w:vAlign w:val="bottom"/>
            <w:hideMark/>
          </w:tcPr>
          <w:p w14:paraId="132AA04C"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Hartimi i draft-raportit analitik dhe rekomandimeve</w:t>
            </w:r>
          </w:p>
        </w:tc>
        <w:tc>
          <w:tcPr>
            <w:tcW w:w="3516" w:type="dxa"/>
            <w:noWrap/>
            <w:vAlign w:val="bottom"/>
            <w:hideMark/>
          </w:tcPr>
          <w:p w14:paraId="65544EC3"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Draft-raporti i parë i analizës</w:t>
            </w:r>
          </w:p>
        </w:tc>
        <w:tc>
          <w:tcPr>
            <w:tcW w:w="1408" w:type="dxa"/>
            <w:noWrap/>
            <w:vAlign w:val="bottom"/>
            <w:hideMark/>
          </w:tcPr>
          <w:p w14:paraId="6E5E6FCB"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2</w:t>
            </w:r>
          </w:p>
        </w:tc>
      </w:tr>
      <w:tr w:rsidR="0019172E" w:rsidRPr="00FF3226" w14:paraId="6233E447" w14:textId="77777777" w:rsidTr="00FF3226">
        <w:trPr>
          <w:trHeight w:val="288"/>
        </w:trPr>
        <w:tc>
          <w:tcPr>
            <w:tcW w:w="4701" w:type="dxa"/>
            <w:noWrap/>
            <w:vAlign w:val="bottom"/>
            <w:hideMark/>
          </w:tcPr>
          <w:p w14:paraId="688BDA21"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Përgatitja e Policy Brief-it dhe dokumentit me rekomandime/opsione politike</w:t>
            </w:r>
          </w:p>
        </w:tc>
        <w:tc>
          <w:tcPr>
            <w:tcW w:w="3516" w:type="dxa"/>
            <w:noWrap/>
            <w:vAlign w:val="bottom"/>
            <w:hideMark/>
          </w:tcPr>
          <w:p w14:paraId="583C1CB2"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Draft Policy Brief (2–4 faqe) dhe dokument me opsione politike</w:t>
            </w:r>
          </w:p>
        </w:tc>
        <w:tc>
          <w:tcPr>
            <w:tcW w:w="1408" w:type="dxa"/>
            <w:noWrap/>
            <w:vAlign w:val="bottom"/>
            <w:hideMark/>
          </w:tcPr>
          <w:p w14:paraId="1525CA68"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1</w:t>
            </w:r>
          </w:p>
        </w:tc>
      </w:tr>
      <w:tr w:rsidR="0019172E" w:rsidRPr="00FF3226" w14:paraId="06B5CF30" w14:textId="77777777" w:rsidTr="00FF3226">
        <w:trPr>
          <w:trHeight w:val="288"/>
        </w:trPr>
        <w:tc>
          <w:tcPr>
            <w:tcW w:w="4701" w:type="dxa"/>
            <w:noWrap/>
            <w:vAlign w:val="bottom"/>
            <w:hideMark/>
          </w:tcPr>
          <w:p w14:paraId="7BC970CD"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Rishikimi i komenteve dhe finalizimi i dokumenteve</w:t>
            </w:r>
          </w:p>
        </w:tc>
        <w:tc>
          <w:tcPr>
            <w:tcW w:w="3516" w:type="dxa"/>
            <w:noWrap/>
            <w:vAlign w:val="bottom"/>
            <w:hideMark/>
          </w:tcPr>
          <w:p w14:paraId="79F94FB8"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Raporti final i analizës dhe Policy Brief-i final</w:t>
            </w:r>
          </w:p>
        </w:tc>
        <w:tc>
          <w:tcPr>
            <w:tcW w:w="1408" w:type="dxa"/>
            <w:noWrap/>
            <w:vAlign w:val="bottom"/>
            <w:hideMark/>
          </w:tcPr>
          <w:p w14:paraId="6C7451BC"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1</w:t>
            </w:r>
          </w:p>
        </w:tc>
      </w:tr>
      <w:tr w:rsidR="0019172E" w:rsidRPr="00FF3226" w14:paraId="14200388" w14:textId="77777777" w:rsidTr="00FF3226">
        <w:trPr>
          <w:trHeight w:val="288"/>
        </w:trPr>
        <w:tc>
          <w:tcPr>
            <w:tcW w:w="4701" w:type="dxa"/>
            <w:noWrap/>
            <w:vAlign w:val="bottom"/>
            <w:hideMark/>
          </w:tcPr>
          <w:p w14:paraId="07DA233B"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Përgatitja dhe dorëzimi i raportit narrativ dhe timesheet-it</w:t>
            </w:r>
          </w:p>
        </w:tc>
        <w:tc>
          <w:tcPr>
            <w:tcW w:w="3516" w:type="dxa"/>
            <w:noWrap/>
            <w:vAlign w:val="bottom"/>
            <w:hideMark/>
          </w:tcPr>
          <w:p w14:paraId="56864A27" w14:textId="77777777" w:rsidR="0019172E" w:rsidRPr="00FF3226" w:rsidRDefault="0019172E">
            <w:pPr>
              <w:rPr>
                <w:rFonts w:cstheme="minorHAnsi"/>
                <w:color w:val="000000"/>
                <w:sz w:val="24"/>
                <w:szCs w:val="24"/>
                <w:lang w:val="sq-AL"/>
              </w:rPr>
            </w:pPr>
            <w:r w:rsidRPr="00FF3226">
              <w:rPr>
                <w:rFonts w:cstheme="minorHAnsi"/>
                <w:color w:val="000000"/>
                <w:sz w:val="24"/>
                <w:szCs w:val="24"/>
                <w:lang w:val="sq-AL"/>
              </w:rPr>
              <w:t>Raporti narrativ dhe dokumentacioni përfundimtar</w:t>
            </w:r>
          </w:p>
        </w:tc>
        <w:tc>
          <w:tcPr>
            <w:tcW w:w="1408" w:type="dxa"/>
            <w:noWrap/>
            <w:vAlign w:val="bottom"/>
            <w:hideMark/>
          </w:tcPr>
          <w:p w14:paraId="78D78B16" w14:textId="77777777" w:rsidR="0019172E" w:rsidRPr="00FF3226" w:rsidRDefault="0019172E">
            <w:pPr>
              <w:jc w:val="right"/>
              <w:rPr>
                <w:rFonts w:cstheme="minorHAnsi"/>
                <w:color w:val="000000"/>
                <w:sz w:val="24"/>
                <w:szCs w:val="24"/>
                <w:lang w:val="sq-AL"/>
              </w:rPr>
            </w:pPr>
            <w:r w:rsidRPr="00FF3226">
              <w:rPr>
                <w:rFonts w:cstheme="minorHAnsi"/>
                <w:color w:val="000000"/>
                <w:sz w:val="24"/>
                <w:szCs w:val="24"/>
                <w:lang w:val="sq-AL"/>
              </w:rPr>
              <w:t>1</w:t>
            </w:r>
          </w:p>
        </w:tc>
      </w:tr>
      <w:tr w:rsidR="0019172E" w:rsidRPr="00FF3226" w14:paraId="0809A800" w14:textId="77777777" w:rsidTr="00FF3226">
        <w:trPr>
          <w:trHeight w:val="288"/>
        </w:trPr>
        <w:tc>
          <w:tcPr>
            <w:tcW w:w="4701" w:type="dxa"/>
            <w:shd w:val="clear" w:color="auto" w:fill="F2F2F2" w:themeFill="background1" w:themeFillShade="F2"/>
            <w:noWrap/>
            <w:vAlign w:val="bottom"/>
            <w:hideMark/>
          </w:tcPr>
          <w:p w14:paraId="2B344775" w14:textId="77777777" w:rsidR="0019172E" w:rsidRPr="00FF3226" w:rsidRDefault="0019172E">
            <w:pPr>
              <w:rPr>
                <w:rFonts w:cstheme="minorHAnsi"/>
                <w:b/>
                <w:color w:val="000000"/>
                <w:sz w:val="24"/>
                <w:szCs w:val="24"/>
                <w:lang w:val="sq-AL"/>
              </w:rPr>
            </w:pPr>
            <w:r w:rsidRPr="00FF3226">
              <w:rPr>
                <w:rFonts w:cstheme="minorHAnsi"/>
                <w:b/>
                <w:color w:val="000000"/>
                <w:sz w:val="24"/>
                <w:szCs w:val="24"/>
                <w:lang w:val="sq-AL"/>
              </w:rPr>
              <w:t>Gjithsej</w:t>
            </w:r>
          </w:p>
        </w:tc>
        <w:tc>
          <w:tcPr>
            <w:tcW w:w="3516" w:type="dxa"/>
            <w:shd w:val="clear" w:color="auto" w:fill="F2F2F2" w:themeFill="background1" w:themeFillShade="F2"/>
            <w:noWrap/>
            <w:vAlign w:val="bottom"/>
            <w:hideMark/>
          </w:tcPr>
          <w:p w14:paraId="0FA61F2F" w14:textId="77777777" w:rsidR="0019172E" w:rsidRPr="00FF3226" w:rsidRDefault="0019172E">
            <w:pPr>
              <w:rPr>
                <w:rFonts w:cstheme="minorHAnsi"/>
                <w:b/>
                <w:color w:val="000000"/>
                <w:sz w:val="24"/>
                <w:szCs w:val="24"/>
                <w:lang w:val="sq-AL"/>
              </w:rPr>
            </w:pPr>
          </w:p>
        </w:tc>
        <w:tc>
          <w:tcPr>
            <w:tcW w:w="1408" w:type="dxa"/>
            <w:shd w:val="clear" w:color="auto" w:fill="F2F2F2" w:themeFill="background1" w:themeFillShade="F2"/>
            <w:noWrap/>
            <w:vAlign w:val="bottom"/>
            <w:hideMark/>
          </w:tcPr>
          <w:p w14:paraId="73071315" w14:textId="77777777" w:rsidR="0019172E" w:rsidRPr="00FF3226" w:rsidRDefault="0019172E">
            <w:pPr>
              <w:jc w:val="right"/>
              <w:rPr>
                <w:rFonts w:cstheme="minorHAnsi"/>
                <w:b/>
                <w:color w:val="000000"/>
                <w:sz w:val="24"/>
                <w:szCs w:val="24"/>
                <w:lang w:val="sq-AL"/>
              </w:rPr>
            </w:pPr>
            <w:r w:rsidRPr="00FF3226">
              <w:rPr>
                <w:rFonts w:cstheme="minorHAnsi"/>
                <w:b/>
                <w:color w:val="000000"/>
                <w:sz w:val="24"/>
                <w:szCs w:val="24"/>
                <w:lang w:val="sq-AL"/>
              </w:rPr>
              <w:t>15</w:t>
            </w:r>
          </w:p>
        </w:tc>
      </w:tr>
    </w:tbl>
    <w:p w14:paraId="552A49EE" w14:textId="77777777" w:rsidR="00FF3226" w:rsidRDefault="00FF3226" w:rsidP="002B75D1">
      <w:pPr>
        <w:rPr>
          <w:rFonts w:cstheme="minorHAnsi"/>
          <w:b/>
          <w:sz w:val="28"/>
          <w:szCs w:val="28"/>
          <w:lang w:val="sq-AL"/>
        </w:rPr>
      </w:pPr>
    </w:p>
    <w:p w14:paraId="144C21CD" w14:textId="77777777" w:rsidR="00FF3226" w:rsidRDefault="002F070D" w:rsidP="002B75D1">
      <w:pPr>
        <w:rPr>
          <w:rFonts w:cstheme="minorHAnsi"/>
          <w:b/>
          <w:sz w:val="28"/>
          <w:szCs w:val="28"/>
          <w:lang w:val="sq-AL"/>
        </w:rPr>
      </w:pPr>
      <w:r w:rsidRPr="00FF3226">
        <w:rPr>
          <w:rFonts w:cstheme="minorHAnsi"/>
          <w:b/>
          <w:sz w:val="28"/>
          <w:szCs w:val="28"/>
          <w:lang w:val="sq-AL"/>
        </w:rPr>
        <w:t>IX</w:t>
      </w:r>
      <w:r w:rsidR="002B75D1" w:rsidRPr="00FF3226">
        <w:rPr>
          <w:rFonts w:cstheme="minorHAnsi"/>
          <w:b/>
          <w:sz w:val="28"/>
          <w:szCs w:val="28"/>
          <w:lang w:val="sq-AL"/>
        </w:rPr>
        <w:t>. Kushtet e Pagesës:</w:t>
      </w:r>
    </w:p>
    <w:p w14:paraId="3138EE41" w14:textId="400ED69D" w:rsidR="002B75D1" w:rsidRPr="00FF3226" w:rsidRDefault="003E7861" w:rsidP="002B75D1">
      <w:pPr>
        <w:rPr>
          <w:rFonts w:cstheme="minorHAnsi"/>
          <w:b/>
          <w:sz w:val="24"/>
          <w:szCs w:val="24"/>
          <w:lang w:val="sq-AL"/>
        </w:rPr>
      </w:pPr>
      <w:r w:rsidRPr="00FF3226">
        <w:rPr>
          <w:rFonts w:cstheme="minorHAnsi"/>
          <w:sz w:val="24"/>
          <w:szCs w:val="24"/>
          <w:lang w:val="sq-AL"/>
        </w:rPr>
        <w:t xml:space="preserve">Pagesa bëhet pas dorëzimit dhe aprovimit të raportit final, Policy Brief-it dhe dokumentit me opsione ligjore, si dhe raportit narrativ dhe timesheet-it. </w:t>
      </w:r>
      <w:r w:rsidR="002B75D1" w:rsidRPr="00FF3226">
        <w:rPr>
          <w:rFonts w:cstheme="minorHAnsi"/>
          <w:sz w:val="24"/>
          <w:szCs w:val="24"/>
          <w:lang w:val="sq-AL"/>
        </w:rPr>
        <w:t xml:space="preserve">Në bazë të ligjit të Kosovës, Syri i Vizionit është po ashtu i obliguar që të paguajë tatimin (taksa dhe Pension) prej 10% të shumës bruto. </w:t>
      </w:r>
    </w:p>
    <w:p w14:paraId="7019122C" w14:textId="12210E50" w:rsidR="002B75D1" w:rsidRPr="00FF3226" w:rsidRDefault="002F070D" w:rsidP="002B75D1">
      <w:pPr>
        <w:rPr>
          <w:rFonts w:cstheme="minorHAnsi"/>
          <w:b/>
          <w:iCs/>
          <w:sz w:val="28"/>
          <w:szCs w:val="28"/>
          <w:lang w:val="sq-AL" w:eastAsia="en-GB"/>
        </w:rPr>
      </w:pPr>
      <w:r w:rsidRPr="00FF3226">
        <w:rPr>
          <w:rFonts w:cstheme="minorHAnsi"/>
          <w:b/>
          <w:sz w:val="28"/>
          <w:szCs w:val="28"/>
          <w:lang w:val="sq-AL"/>
        </w:rPr>
        <w:t>X</w:t>
      </w:r>
      <w:r w:rsidR="002B75D1" w:rsidRPr="00FF3226">
        <w:rPr>
          <w:rFonts w:cstheme="minorHAnsi"/>
          <w:b/>
          <w:sz w:val="28"/>
          <w:szCs w:val="28"/>
          <w:lang w:val="sq-AL"/>
        </w:rPr>
        <w:t xml:space="preserve">. </w:t>
      </w:r>
      <w:r w:rsidR="002B75D1" w:rsidRPr="00FF3226">
        <w:rPr>
          <w:rFonts w:cstheme="minorHAnsi"/>
          <w:b/>
          <w:iCs/>
          <w:sz w:val="28"/>
          <w:szCs w:val="28"/>
          <w:lang w:val="sq-AL" w:eastAsia="en-GB"/>
        </w:rPr>
        <w:t>Dokumentet e kërkuara dhe procedura për aplikim:</w:t>
      </w:r>
    </w:p>
    <w:p w14:paraId="72DFA51F" w14:textId="17F96593" w:rsidR="000B59AF" w:rsidRPr="00FF3226" w:rsidRDefault="002B75D1" w:rsidP="000B59AF">
      <w:pPr>
        <w:pStyle w:val="NoSpacing"/>
        <w:numPr>
          <w:ilvl w:val="0"/>
          <w:numId w:val="26"/>
        </w:numPr>
        <w:rPr>
          <w:rFonts w:cstheme="minorHAnsi"/>
          <w:sz w:val="24"/>
          <w:szCs w:val="24"/>
          <w:lang w:val="sq-AL"/>
        </w:rPr>
      </w:pPr>
      <w:r w:rsidRPr="00FF3226">
        <w:rPr>
          <w:rFonts w:cstheme="minorHAnsi"/>
          <w:sz w:val="24"/>
          <w:szCs w:val="24"/>
          <w:lang w:val="sq-AL"/>
        </w:rPr>
        <w:t xml:space="preserve">Metodologjinë e punës </w:t>
      </w:r>
      <w:r w:rsidR="009E5401" w:rsidRPr="00FF3226">
        <w:rPr>
          <w:rFonts w:cstheme="minorHAnsi"/>
          <w:sz w:val="24"/>
          <w:szCs w:val="24"/>
          <w:lang w:val="sq-AL"/>
        </w:rPr>
        <w:t>;</w:t>
      </w:r>
      <w:r w:rsidRPr="00FF3226">
        <w:rPr>
          <w:rFonts w:cstheme="minorHAnsi"/>
          <w:sz w:val="24"/>
          <w:szCs w:val="24"/>
          <w:lang w:val="sq-AL"/>
        </w:rPr>
        <w:t xml:space="preserve">  </w:t>
      </w:r>
    </w:p>
    <w:p w14:paraId="494ED023" w14:textId="2173CF2D" w:rsidR="002B75D1" w:rsidRPr="00FF3226" w:rsidRDefault="00DE3E0A" w:rsidP="000B59AF">
      <w:pPr>
        <w:pStyle w:val="NoSpacing"/>
        <w:numPr>
          <w:ilvl w:val="0"/>
          <w:numId w:val="26"/>
        </w:numPr>
        <w:rPr>
          <w:rFonts w:cstheme="minorHAnsi"/>
          <w:sz w:val="24"/>
          <w:szCs w:val="24"/>
          <w:lang w:val="sq-AL"/>
        </w:rPr>
      </w:pPr>
      <w:r w:rsidRPr="00FF3226">
        <w:rPr>
          <w:rFonts w:cstheme="minorHAnsi"/>
          <w:sz w:val="24"/>
          <w:szCs w:val="24"/>
          <w:lang w:val="sq-AL"/>
        </w:rPr>
        <w:t>Një</w:t>
      </w:r>
      <w:r w:rsidR="002B75D1" w:rsidRPr="00FF3226">
        <w:rPr>
          <w:rFonts w:cstheme="minorHAnsi"/>
          <w:sz w:val="24"/>
          <w:szCs w:val="24"/>
          <w:lang w:val="sq-AL"/>
        </w:rPr>
        <w:t xml:space="preserve"> letër interesi që paraqet arsyet që ai/ajo është i/e përshtatshëm dhe ka njohuri dhe eksperiencë në kët</w:t>
      </w:r>
      <w:r w:rsidR="009E5401" w:rsidRPr="00FF3226">
        <w:rPr>
          <w:rFonts w:cstheme="minorHAnsi"/>
          <w:sz w:val="24"/>
          <w:szCs w:val="24"/>
          <w:lang w:val="sq-AL"/>
        </w:rPr>
        <w:t>ë fushë</w:t>
      </w:r>
      <w:r w:rsidR="002B75D1" w:rsidRPr="00FF3226">
        <w:rPr>
          <w:rFonts w:cstheme="minorHAnsi"/>
          <w:sz w:val="24"/>
          <w:szCs w:val="24"/>
          <w:lang w:val="sq-AL"/>
        </w:rPr>
        <w:t xml:space="preserve"> apo fusha të ngjashme;</w:t>
      </w:r>
    </w:p>
    <w:p w14:paraId="6F93BB82" w14:textId="12125697" w:rsidR="002B75D1" w:rsidRPr="00FF3226" w:rsidRDefault="002B75D1" w:rsidP="000B59AF">
      <w:pPr>
        <w:pStyle w:val="NoSpacing"/>
        <w:numPr>
          <w:ilvl w:val="0"/>
          <w:numId w:val="26"/>
        </w:numPr>
        <w:rPr>
          <w:rFonts w:cstheme="minorHAnsi"/>
          <w:sz w:val="24"/>
          <w:szCs w:val="24"/>
          <w:lang w:val="sq-AL"/>
        </w:rPr>
      </w:pPr>
      <w:r w:rsidRPr="00FF3226">
        <w:rPr>
          <w:rFonts w:cstheme="minorHAnsi"/>
          <w:sz w:val="24"/>
          <w:szCs w:val="24"/>
          <w:lang w:val="sq-AL"/>
        </w:rPr>
        <w:t xml:space="preserve">Diplomë Universitare qe </w:t>
      </w:r>
      <w:r w:rsidR="00DE3E0A" w:rsidRPr="00FF3226">
        <w:rPr>
          <w:rFonts w:cstheme="minorHAnsi"/>
          <w:sz w:val="24"/>
          <w:szCs w:val="24"/>
          <w:lang w:val="sq-AL"/>
        </w:rPr>
        <w:t>dëshmon</w:t>
      </w:r>
      <w:r w:rsidRPr="00FF3226">
        <w:rPr>
          <w:rFonts w:cstheme="minorHAnsi"/>
          <w:sz w:val="24"/>
          <w:szCs w:val="24"/>
          <w:lang w:val="sq-AL"/>
        </w:rPr>
        <w:t xml:space="preserve"> kualifikimin e tij/saj; </w:t>
      </w:r>
    </w:p>
    <w:p w14:paraId="118D608B" w14:textId="77777777" w:rsidR="002B75D1" w:rsidRPr="00FF3226" w:rsidRDefault="002B75D1" w:rsidP="000B59AF">
      <w:pPr>
        <w:pStyle w:val="NoSpacing"/>
        <w:numPr>
          <w:ilvl w:val="0"/>
          <w:numId w:val="26"/>
        </w:numPr>
        <w:rPr>
          <w:rFonts w:cstheme="minorHAnsi"/>
          <w:sz w:val="24"/>
          <w:szCs w:val="24"/>
          <w:lang w:val="sq-AL"/>
        </w:rPr>
      </w:pPr>
      <w:r w:rsidRPr="00FF3226">
        <w:rPr>
          <w:rFonts w:cstheme="minorHAnsi"/>
          <w:sz w:val="24"/>
          <w:szCs w:val="24"/>
          <w:lang w:val="sq-AL"/>
        </w:rPr>
        <w:t>Curriculum Vitae (CV);</w:t>
      </w:r>
    </w:p>
    <w:p w14:paraId="77BD60C7" w14:textId="57D4D7EC" w:rsidR="002B75D1" w:rsidRPr="00FF3226" w:rsidRDefault="002B75D1" w:rsidP="000B59AF">
      <w:pPr>
        <w:pStyle w:val="NoSpacing"/>
        <w:numPr>
          <w:ilvl w:val="0"/>
          <w:numId w:val="26"/>
        </w:numPr>
        <w:rPr>
          <w:rFonts w:cstheme="minorHAnsi"/>
          <w:sz w:val="24"/>
          <w:szCs w:val="24"/>
          <w:lang w:val="sq-AL"/>
        </w:rPr>
      </w:pPr>
      <w:r w:rsidRPr="00FF3226">
        <w:rPr>
          <w:rFonts w:cstheme="minorHAnsi"/>
          <w:sz w:val="24"/>
          <w:szCs w:val="24"/>
          <w:lang w:val="sq-AL"/>
        </w:rPr>
        <w:t>Propozimi financiar</w:t>
      </w:r>
      <w:r w:rsidR="003012A6" w:rsidRPr="00FF3226">
        <w:rPr>
          <w:rFonts w:cstheme="minorHAnsi"/>
          <w:sz w:val="24"/>
          <w:szCs w:val="24"/>
          <w:lang w:val="sq-AL"/>
        </w:rPr>
        <w:t xml:space="preserve"> bruto</w:t>
      </w:r>
      <w:r w:rsidRPr="00FF3226">
        <w:rPr>
          <w:rFonts w:cstheme="minorHAnsi"/>
          <w:sz w:val="24"/>
          <w:szCs w:val="24"/>
          <w:lang w:val="sq-AL"/>
        </w:rPr>
        <w:t xml:space="preserve">* </w:t>
      </w:r>
    </w:p>
    <w:p w14:paraId="364555B4" w14:textId="47B96401" w:rsidR="000B59AF" w:rsidRPr="00FF3226" w:rsidRDefault="002B75D1" w:rsidP="002B75D1">
      <w:pPr>
        <w:ind w:left="720"/>
        <w:rPr>
          <w:rFonts w:cstheme="minorHAnsi"/>
          <w:iCs/>
          <w:sz w:val="24"/>
          <w:szCs w:val="24"/>
          <w:lang w:val="sq-AL" w:eastAsia="en-GB"/>
        </w:rPr>
      </w:pPr>
      <w:r w:rsidRPr="00FF3226">
        <w:rPr>
          <w:rFonts w:cstheme="minorHAnsi"/>
          <w:i/>
          <w:sz w:val="24"/>
          <w:szCs w:val="24"/>
          <w:lang w:val="sq-AL"/>
        </w:rPr>
        <w:t xml:space="preserve">*Oferta  financiare duhet të jetë e hollësishme për secilën punë që do të realizohet, duke përfshirë, zhvillimin e </w:t>
      </w:r>
      <w:r w:rsidR="00DE3E0A" w:rsidRPr="00FF3226">
        <w:rPr>
          <w:rFonts w:cstheme="minorHAnsi"/>
          <w:i/>
          <w:sz w:val="24"/>
          <w:szCs w:val="24"/>
          <w:lang w:val="sq-AL"/>
        </w:rPr>
        <w:t>strategjisë</w:t>
      </w:r>
      <w:r w:rsidRPr="00FF3226">
        <w:rPr>
          <w:rFonts w:cstheme="minorHAnsi"/>
          <w:i/>
          <w:sz w:val="24"/>
          <w:szCs w:val="24"/>
          <w:lang w:val="sq-AL"/>
        </w:rPr>
        <w:t xml:space="preserve"> dhe materialet e</w:t>
      </w:r>
      <w:r w:rsidR="00DE3E0A" w:rsidRPr="00FF3226">
        <w:rPr>
          <w:rFonts w:cstheme="minorHAnsi"/>
          <w:i/>
          <w:sz w:val="24"/>
          <w:szCs w:val="24"/>
          <w:lang w:val="sq-AL"/>
        </w:rPr>
        <w:t xml:space="preserve"> punëtorisë</w:t>
      </w:r>
      <w:r w:rsidRPr="00FF3226">
        <w:rPr>
          <w:rFonts w:cstheme="minorHAnsi"/>
          <w:i/>
          <w:sz w:val="24"/>
          <w:szCs w:val="24"/>
          <w:lang w:val="sq-AL"/>
        </w:rPr>
        <w:t xml:space="preserve">, mbajtjen e </w:t>
      </w:r>
      <w:r w:rsidR="00DE3E0A" w:rsidRPr="00FF3226">
        <w:rPr>
          <w:rFonts w:cstheme="minorHAnsi"/>
          <w:i/>
          <w:sz w:val="24"/>
          <w:szCs w:val="24"/>
          <w:lang w:val="sq-AL"/>
        </w:rPr>
        <w:t>punëtorisë</w:t>
      </w:r>
      <w:r w:rsidRPr="00FF3226">
        <w:rPr>
          <w:rFonts w:cstheme="minorHAnsi"/>
          <w:i/>
          <w:sz w:val="24"/>
          <w:szCs w:val="24"/>
          <w:lang w:val="sq-AL"/>
        </w:rPr>
        <w:t xml:space="preserve"> dhe shkrimin e raportit.</w:t>
      </w:r>
      <w:r w:rsidR="00DE3E0A" w:rsidRPr="00FF3226">
        <w:rPr>
          <w:rFonts w:cstheme="minorHAnsi"/>
          <w:i/>
          <w:sz w:val="24"/>
          <w:szCs w:val="24"/>
          <w:lang w:val="sq-AL"/>
        </w:rPr>
        <w:t xml:space="preserve"> Çdo shpenzim shtesë nuk do merret parasysh.</w:t>
      </w:r>
    </w:p>
    <w:p w14:paraId="44AD4F06" w14:textId="4C24CCD0" w:rsidR="002B75D1" w:rsidRPr="00FF3226" w:rsidRDefault="002B75D1" w:rsidP="002B75D1">
      <w:pPr>
        <w:rPr>
          <w:rFonts w:cstheme="minorHAnsi"/>
          <w:b/>
          <w:sz w:val="24"/>
          <w:szCs w:val="24"/>
          <w:lang w:val="sq-AL"/>
        </w:rPr>
      </w:pPr>
      <w:r w:rsidRPr="00FF3226">
        <w:rPr>
          <w:rFonts w:cstheme="minorHAnsi"/>
          <w:sz w:val="24"/>
          <w:szCs w:val="24"/>
          <w:lang w:val="sq-AL"/>
        </w:rPr>
        <w:t>Aplikacionet duhet të dorëzohen në formë elektronike në e-mail adresën: office@syriivizionit.org ose info@syriivizionit.org me subjektin:</w:t>
      </w:r>
      <w:r w:rsidRPr="00FF3226">
        <w:rPr>
          <w:rFonts w:cstheme="minorHAnsi"/>
          <w:i/>
          <w:iCs/>
          <w:sz w:val="24"/>
          <w:szCs w:val="24"/>
          <w:lang w:val="sq-AL"/>
        </w:rPr>
        <w:t xml:space="preserve">  </w:t>
      </w:r>
      <w:r w:rsidR="009E5401" w:rsidRPr="00FF3226">
        <w:rPr>
          <w:rFonts w:cstheme="minorHAnsi"/>
          <w:i/>
          <w:iCs/>
          <w:sz w:val="24"/>
          <w:szCs w:val="24"/>
          <w:lang w:val="sq-AL"/>
        </w:rPr>
        <w:t xml:space="preserve">Aplikim – </w:t>
      </w:r>
      <w:r w:rsidR="003E7861" w:rsidRPr="00FF3226">
        <w:rPr>
          <w:rFonts w:cstheme="minorHAnsi"/>
          <w:i/>
          <w:iCs/>
          <w:sz w:val="24"/>
          <w:szCs w:val="24"/>
          <w:lang w:val="sq-AL"/>
        </w:rPr>
        <w:t xml:space="preserve">Ekspertit/es për analizë ligjore mbi përgjegjësinë ligjore dhe institucionale të prindërve ndaj shkollës, sjelljes, sigurisë dhe mirëqenies së fëmijëve </w:t>
      </w:r>
      <w:r w:rsidRPr="00FF3226">
        <w:rPr>
          <w:rFonts w:cstheme="minorHAnsi"/>
          <w:b/>
          <w:sz w:val="24"/>
          <w:szCs w:val="24"/>
          <w:lang w:val="sq-AL"/>
        </w:rPr>
        <w:t xml:space="preserve">Afati i fundit për dorëzimin e aplikacionit është </w:t>
      </w:r>
      <w:r w:rsidR="00D10EDA">
        <w:rPr>
          <w:rFonts w:cstheme="minorHAnsi"/>
          <w:b/>
          <w:sz w:val="24"/>
          <w:szCs w:val="24"/>
          <w:lang w:val="sq-AL"/>
        </w:rPr>
        <w:t>24</w:t>
      </w:r>
      <w:r w:rsidR="003E7861" w:rsidRPr="00FF3226">
        <w:rPr>
          <w:rFonts w:cstheme="minorHAnsi"/>
          <w:b/>
          <w:sz w:val="24"/>
          <w:szCs w:val="24"/>
          <w:lang w:val="sq-AL"/>
        </w:rPr>
        <w:t xml:space="preserve"> korrik</w:t>
      </w:r>
      <w:r w:rsidR="009E5401" w:rsidRPr="00FF3226">
        <w:rPr>
          <w:rFonts w:cstheme="minorHAnsi"/>
          <w:b/>
          <w:sz w:val="24"/>
          <w:szCs w:val="24"/>
          <w:lang w:val="sq-AL"/>
        </w:rPr>
        <w:t xml:space="preserve"> 2026</w:t>
      </w:r>
      <w:r w:rsidRPr="00FF3226">
        <w:rPr>
          <w:rFonts w:cstheme="minorHAnsi"/>
          <w:b/>
          <w:sz w:val="24"/>
          <w:szCs w:val="24"/>
          <w:lang w:val="sq-AL"/>
        </w:rPr>
        <w:t xml:space="preserve"> ora 1</w:t>
      </w:r>
      <w:r w:rsidR="00DA4EFC" w:rsidRPr="00FF3226">
        <w:rPr>
          <w:rFonts w:cstheme="minorHAnsi"/>
          <w:b/>
          <w:sz w:val="24"/>
          <w:szCs w:val="24"/>
          <w:lang w:val="sq-AL"/>
        </w:rPr>
        <w:t>6</w:t>
      </w:r>
      <w:r w:rsidRPr="00FF3226">
        <w:rPr>
          <w:rFonts w:cstheme="minorHAnsi"/>
          <w:b/>
          <w:sz w:val="24"/>
          <w:szCs w:val="24"/>
          <w:lang w:val="sq-AL"/>
        </w:rPr>
        <w:t xml:space="preserve">:00. </w:t>
      </w:r>
    </w:p>
    <w:p w14:paraId="4AA77057" w14:textId="77777777" w:rsidR="002B75D1" w:rsidRPr="00FF3226" w:rsidRDefault="002B75D1" w:rsidP="002B75D1">
      <w:pPr>
        <w:rPr>
          <w:rFonts w:cstheme="minorHAnsi"/>
          <w:sz w:val="24"/>
          <w:szCs w:val="24"/>
          <w:lang w:val="sq-AL"/>
        </w:rPr>
      </w:pPr>
    </w:p>
    <w:p w14:paraId="6828F97D" w14:textId="4AE15225" w:rsidR="009A2924" w:rsidRPr="00FF3226" w:rsidRDefault="002B75D1" w:rsidP="00FF3226">
      <w:pPr>
        <w:jc w:val="center"/>
        <w:rPr>
          <w:rFonts w:cstheme="minorHAnsi"/>
          <w:sz w:val="24"/>
          <w:szCs w:val="24"/>
          <w:lang w:val="sq-AL"/>
        </w:rPr>
      </w:pPr>
      <w:r w:rsidRPr="00FF3226">
        <w:rPr>
          <w:rFonts w:cstheme="minorHAnsi"/>
          <w:b/>
          <w:i/>
          <w:sz w:val="24"/>
          <w:szCs w:val="24"/>
          <w:lang w:val="sq-AL"/>
        </w:rPr>
        <w:t>Vetëm kandidatët e suksesshëm do të kontaktohen!</w:t>
      </w:r>
    </w:p>
    <w:sectPr w:rsidR="009A2924" w:rsidRPr="00FF322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3254A" w14:textId="77777777" w:rsidR="00951FCC" w:rsidRDefault="00951FCC" w:rsidP="00D70E34">
      <w:pPr>
        <w:spacing w:after="0" w:line="240" w:lineRule="auto"/>
      </w:pPr>
      <w:r>
        <w:separator/>
      </w:r>
    </w:p>
  </w:endnote>
  <w:endnote w:type="continuationSeparator" w:id="0">
    <w:p w14:paraId="4D9DE0E1" w14:textId="77777777" w:rsidR="00951FCC" w:rsidRDefault="00951FCC" w:rsidP="00D7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A00000AF" w:usb1="5000604B" w:usb2="00000000" w:usb3="00000000" w:csb0="00000093" w:csb1="00000000"/>
  </w:font>
  <w:font w:name="Aptos">
    <w:charset w:val="00"/>
    <w:family w:val="swiss"/>
    <w:pitch w:val="variable"/>
    <w:sig w:usb0="20000287" w:usb1="00000003" w:usb2="00000000" w:usb3="00000000" w:csb0="0000019F" w:csb1="00000000"/>
  </w:font>
  <w:font w:name="Gill Sans Infant St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B9B9" w14:textId="1A9E6D33" w:rsidR="00881C97" w:rsidRPr="00F00E4B" w:rsidRDefault="000B59AF">
    <w:pPr>
      <w:pStyle w:val="Footer"/>
    </w:pPr>
    <w:r>
      <w:t>www</w:t>
    </w:r>
    <w:r w:rsidR="008D7B01">
      <w:t>.syriivizionit.org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9B4D" w14:textId="77777777" w:rsidR="00951FCC" w:rsidRDefault="00951FCC" w:rsidP="00D70E34">
      <w:pPr>
        <w:spacing w:after="0" w:line="240" w:lineRule="auto"/>
      </w:pPr>
      <w:r>
        <w:separator/>
      </w:r>
    </w:p>
  </w:footnote>
  <w:footnote w:type="continuationSeparator" w:id="0">
    <w:p w14:paraId="3740C740" w14:textId="77777777" w:rsidR="00951FCC" w:rsidRDefault="00951FCC" w:rsidP="00D7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B027" w14:textId="3B045A9D" w:rsidR="00881C97" w:rsidRPr="002F3519" w:rsidRDefault="00C51DF7" w:rsidP="00D57CA9">
    <w:pPr>
      <w:tabs>
        <w:tab w:val="left" w:pos="1824"/>
      </w:tabs>
      <w:rPr>
        <w:sz w:val="24"/>
        <w:szCs w:val="24"/>
        <w:lang w:val="sq-AL"/>
      </w:rPr>
    </w:pPr>
    <w:r>
      <w:rPr>
        <w:noProof/>
        <w:sz w:val="24"/>
        <w:szCs w:val="24"/>
        <w:lang w:val="en-US"/>
      </w:rPr>
      <w:drawing>
        <wp:anchor distT="0" distB="0" distL="114300" distR="114300" simplePos="0" relativeHeight="251656192" behindDoc="0" locked="0" layoutInCell="1" allowOverlap="1" wp14:anchorId="6A06AADF" wp14:editId="03309714">
          <wp:simplePos x="0" y="0"/>
          <wp:positionH relativeFrom="column">
            <wp:posOffset>4505325</wp:posOffset>
          </wp:positionH>
          <wp:positionV relativeFrom="paragraph">
            <wp:posOffset>-278130</wp:posOffset>
          </wp:positionV>
          <wp:extent cx="1724025" cy="9550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lang w:val="en-US"/>
      </w:rPr>
      <w:drawing>
        <wp:anchor distT="0" distB="0" distL="114300" distR="114300" simplePos="0" relativeHeight="251664384" behindDoc="1" locked="0" layoutInCell="1" allowOverlap="1" wp14:anchorId="3720EA57" wp14:editId="5EC22739">
          <wp:simplePos x="0" y="0"/>
          <wp:positionH relativeFrom="margin">
            <wp:posOffset>-466725</wp:posOffset>
          </wp:positionH>
          <wp:positionV relativeFrom="margin">
            <wp:posOffset>-521970</wp:posOffset>
          </wp:positionV>
          <wp:extent cx="1499235" cy="40005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923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BD3">
      <w:rPr>
        <w:noProof/>
        <w:lang w:val="en-US"/>
      </w:rPr>
      <w:drawing>
        <wp:anchor distT="0" distB="0" distL="114300" distR="114300" simplePos="0" relativeHeight="251658240" behindDoc="0" locked="0" layoutInCell="1" allowOverlap="1" wp14:anchorId="63CDD238" wp14:editId="4B5F833B">
          <wp:simplePos x="0" y="0"/>
          <wp:positionH relativeFrom="margin">
            <wp:posOffset>1695450</wp:posOffset>
          </wp:positionH>
          <wp:positionV relativeFrom="margin">
            <wp:posOffset>-589280</wp:posOffset>
          </wp:positionV>
          <wp:extent cx="2189480" cy="561975"/>
          <wp:effectExtent l="0" t="0" r="0" b="0"/>
          <wp:wrapSquare wrapText="bothSides"/>
          <wp:docPr id="3" name="Picture 3" descr="STC_Logo_Eng_Horiz_ColPo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C_Logo_Eng_Horiz_ColPos_RG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8948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97">
      <w:rPr>
        <w:b/>
        <w:sz w:val="24"/>
        <w:szCs w:val="24"/>
        <w:lang w:val="sq-AL"/>
      </w:rPr>
      <w:t xml:space="preserve">                         </w:t>
    </w:r>
    <w:r w:rsidR="00881C97">
      <w:rPr>
        <w:b/>
        <w:sz w:val="24"/>
        <w:szCs w:val="24"/>
        <w:lang w:val="sq-AL"/>
      </w:rPr>
      <w:tab/>
    </w:r>
  </w:p>
  <w:p w14:paraId="39F9A19F" w14:textId="3C78B536" w:rsidR="00881C97" w:rsidRDefault="00881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165"/>
      </v:shape>
    </w:pict>
  </w:numPicBullet>
  <w:abstractNum w:abstractNumId="0" w15:restartNumberingAfterBreak="0">
    <w:nsid w:val="006304E8"/>
    <w:multiLevelType w:val="hybridMultilevel"/>
    <w:tmpl w:val="E046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4270"/>
    <w:multiLevelType w:val="hybridMultilevel"/>
    <w:tmpl w:val="F2149E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69D"/>
    <w:multiLevelType w:val="hybridMultilevel"/>
    <w:tmpl w:val="51D8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7CC3"/>
    <w:multiLevelType w:val="hybridMultilevel"/>
    <w:tmpl w:val="3F24CAE6"/>
    <w:lvl w:ilvl="0" w:tplc="3F4E1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D1942"/>
    <w:multiLevelType w:val="hybridMultilevel"/>
    <w:tmpl w:val="015EC796"/>
    <w:lvl w:ilvl="0" w:tplc="BB9CC584">
      <w:start w:val="26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02595"/>
    <w:multiLevelType w:val="hybridMultilevel"/>
    <w:tmpl w:val="D824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B5C2E"/>
    <w:multiLevelType w:val="hybridMultilevel"/>
    <w:tmpl w:val="447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80933"/>
    <w:multiLevelType w:val="hybridMultilevel"/>
    <w:tmpl w:val="3E88777C"/>
    <w:lvl w:ilvl="0" w:tplc="6CD83B2C">
      <w:start w:val="1"/>
      <w:numFmt w:val="decimal"/>
      <w:lvlText w:val="%1."/>
      <w:lvlJc w:val="left"/>
      <w:pPr>
        <w:ind w:left="1020" w:hanging="360"/>
      </w:pPr>
    </w:lvl>
    <w:lvl w:ilvl="1" w:tplc="63EE0A0A">
      <w:start w:val="1"/>
      <w:numFmt w:val="decimal"/>
      <w:lvlText w:val="%2."/>
      <w:lvlJc w:val="left"/>
      <w:pPr>
        <w:ind w:left="1020" w:hanging="360"/>
      </w:pPr>
    </w:lvl>
    <w:lvl w:ilvl="2" w:tplc="5DC493BA">
      <w:start w:val="1"/>
      <w:numFmt w:val="decimal"/>
      <w:lvlText w:val="%3."/>
      <w:lvlJc w:val="left"/>
      <w:pPr>
        <w:ind w:left="1020" w:hanging="360"/>
      </w:pPr>
    </w:lvl>
    <w:lvl w:ilvl="3" w:tplc="C4FC8DEE">
      <w:start w:val="1"/>
      <w:numFmt w:val="decimal"/>
      <w:lvlText w:val="%4."/>
      <w:lvlJc w:val="left"/>
      <w:pPr>
        <w:ind w:left="1020" w:hanging="360"/>
      </w:pPr>
    </w:lvl>
    <w:lvl w:ilvl="4" w:tplc="83C000C4">
      <w:start w:val="1"/>
      <w:numFmt w:val="decimal"/>
      <w:lvlText w:val="%5."/>
      <w:lvlJc w:val="left"/>
      <w:pPr>
        <w:ind w:left="1020" w:hanging="360"/>
      </w:pPr>
    </w:lvl>
    <w:lvl w:ilvl="5" w:tplc="DB42003C">
      <w:start w:val="1"/>
      <w:numFmt w:val="decimal"/>
      <w:lvlText w:val="%6."/>
      <w:lvlJc w:val="left"/>
      <w:pPr>
        <w:ind w:left="1020" w:hanging="360"/>
      </w:pPr>
    </w:lvl>
    <w:lvl w:ilvl="6" w:tplc="4DFE792A">
      <w:start w:val="1"/>
      <w:numFmt w:val="decimal"/>
      <w:lvlText w:val="%7."/>
      <w:lvlJc w:val="left"/>
      <w:pPr>
        <w:ind w:left="1020" w:hanging="360"/>
      </w:pPr>
    </w:lvl>
    <w:lvl w:ilvl="7" w:tplc="9BD4AB10">
      <w:start w:val="1"/>
      <w:numFmt w:val="decimal"/>
      <w:lvlText w:val="%8."/>
      <w:lvlJc w:val="left"/>
      <w:pPr>
        <w:ind w:left="1020" w:hanging="360"/>
      </w:pPr>
    </w:lvl>
    <w:lvl w:ilvl="8" w:tplc="1F4AD17E">
      <w:start w:val="1"/>
      <w:numFmt w:val="decimal"/>
      <w:lvlText w:val="%9."/>
      <w:lvlJc w:val="left"/>
      <w:pPr>
        <w:ind w:left="1020" w:hanging="360"/>
      </w:pPr>
    </w:lvl>
  </w:abstractNum>
  <w:abstractNum w:abstractNumId="8" w15:restartNumberingAfterBreak="0">
    <w:nsid w:val="221112FA"/>
    <w:multiLevelType w:val="hybridMultilevel"/>
    <w:tmpl w:val="4DEA91E8"/>
    <w:lvl w:ilvl="0" w:tplc="4636D84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C4D9F"/>
    <w:multiLevelType w:val="hybridMultilevel"/>
    <w:tmpl w:val="BC489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3319A"/>
    <w:multiLevelType w:val="hybridMultilevel"/>
    <w:tmpl w:val="17461F80"/>
    <w:lvl w:ilvl="0" w:tplc="BCAED2A8">
      <w:start w:val="487"/>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E7BC4"/>
    <w:multiLevelType w:val="hybridMultilevel"/>
    <w:tmpl w:val="0622AF1A"/>
    <w:lvl w:ilvl="0" w:tplc="866092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40C6E"/>
    <w:multiLevelType w:val="hybridMultilevel"/>
    <w:tmpl w:val="7A70A048"/>
    <w:lvl w:ilvl="0" w:tplc="094E7A70">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62DBA"/>
    <w:multiLevelType w:val="hybridMultilevel"/>
    <w:tmpl w:val="07EC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75C2A"/>
    <w:multiLevelType w:val="hybridMultilevel"/>
    <w:tmpl w:val="85881BEE"/>
    <w:lvl w:ilvl="0" w:tplc="4636D84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C2A4F"/>
    <w:multiLevelType w:val="hybridMultilevel"/>
    <w:tmpl w:val="4D6CBB78"/>
    <w:lvl w:ilvl="0" w:tplc="89EC989E">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94C88"/>
    <w:multiLevelType w:val="hybridMultilevel"/>
    <w:tmpl w:val="628068A4"/>
    <w:lvl w:ilvl="0" w:tplc="23281BE4">
      <w:start w:val="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B71F5"/>
    <w:multiLevelType w:val="hybridMultilevel"/>
    <w:tmpl w:val="22C2D9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45F26"/>
    <w:multiLevelType w:val="hybridMultilevel"/>
    <w:tmpl w:val="18280E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55E96"/>
    <w:multiLevelType w:val="hybridMultilevel"/>
    <w:tmpl w:val="D0EC91EC"/>
    <w:lvl w:ilvl="0" w:tplc="0809000F">
      <w:start w:val="8"/>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52F42CEA"/>
    <w:multiLevelType w:val="multilevel"/>
    <w:tmpl w:val="9BB6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55159"/>
    <w:multiLevelType w:val="hybridMultilevel"/>
    <w:tmpl w:val="2AC64C2E"/>
    <w:lvl w:ilvl="0" w:tplc="4636D846">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4036B"/>
    <w:multiLevelType w:val="hybridMultilevel"/>
    <w:tmpl w:val="A4C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6295E"/>
    <w:multiLevelType w:val="hybridMultilevel"/>
    <w:tmpl w:val="913C3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725FA"/>
    <w:multiLevelType w:val="hybridMultilevel"/>
    <w:tmpl w:val="309C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B70C1"/>
    <w:multiLevelType w:val="hybridMultilevel"/>
    <w:tmpl w:val="BBF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B94629"/>
    <w:multiLevelType w:val="hybridMultilevel"/>
    <w:tmpl w:val="B4CC9312"/>
    <w:lvl w:ilvl="0" w:tplc="3AB49CDE">
      <w:numFmt w:val="bullet"/>
      <w:lvlText w:val="-"/>
      <w:lvlJc w:val="left"/>
      <w:pPr>
        <w:ind w:left="720" w:hanging="360"/>
      </w:pPr>
      <w:rPr>
        <w:rFonts w:ascii="Lato" w:eastAsia="Times New Roman" w:hAnsi="Lat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662FBB"/>
    <w:multiLevelType w:val="hybridMultilevel"/>
    <w:tmpl w:val="9E022012"/>
    <w:lvl w:ilvl="0" w:tplc="FA8C8928">
      <w:start w:val="6"/>
      <w:numFmt w:val="bullet"/>
      <w:lvlText w:val="-"/>
      <w:lvlJc w:val="left"/>
      <w:pPr>
        <w:ind w:left="780" w:hanging="360"/>
      </w:pPr>
      <w:rPr>
        <w:rFonts w:ascii="Aptos" w:eastAsia="Gill Sans Infant Std" w:hAnsi="Aptos" w:cs="Gill Sans Infant Std"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BB268C7"/>
    <w:multiLevelType w:val="hybridMultilevel"/>
    <w:tmpl w:val="F60E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8F3C0B"/>
    <w:multiLevelType w:val="hybridMultilevel"/>
    <w:tmpl w:val="86F25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231FC"/>
    <w:multiLevelType w:val="hybridMultilevel"/>
    <w:tmpl w:val="A094FC60"/>
    <w:lvl w:ilvl="0" w:tplc="B30A04C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282901"/>
    <w:multiLevelType w:val="hybridMultilevel"/>
    <w:tmpl w:val="6F50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01F75"/>
    <w:multiLevelType w:val="multilevel"/>
    <w:tmpl w:val="05420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C72236"/>
    <w:multiLevelType w:val="hybridMultilevel"/>
    <w:tmpl w:val="F8B25424"/>
    <w:lvl w:ilvl="0" w:tplc="8A0466E6">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1755D"/>
    <w:multiLevelType w:val="hybridMultilevel"/>
    <w:tmpl w:val="A9E43E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44CE4"/>
    <w:multiLevelType w:val="hybridMultilevel"/>
    <w:tmpl w:val="2AAED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920625">
    <w:abstractNumId w:val="30"/>
  </w:num>
  <w:num w:numId="2" w16cid:durableId="726101549">
    <w:abstractNumId w:val="11"/>
  </w:num>
  <w:num w:numId="3" w16cid:durableId="1102844260">
    <w:abstractNumId w:val="25"/>
  </w:num>
  <w:num w:numId="4" w16cid:durableId="770706481">
    <w:abstractNumId w:val="6"/>
  </w:num>
  <w:num w:numId="5" w16cid:durableId="2138595403">
    <w:abstractNumId w:val="22"/>
  </w:num>
  <w:num w:numId="6" w16cid:durableId="1719544550">
    <w:abstractNumId w:val="14"/>
  </w:num>
  <w:num w:numId="7" w16cid:durableId="1725593930">
    <w:abstractNumId w:val="2"/>
  </w:num>
  <w:num w:numId="8" w16cid:durableId="233704867">
    <w:abstractNumId w:val="9"/>
  </w:num>
  <w:num w:numId="9" w16cid:durableId="1346319871">
    <w:abstractNumId w:val="0"/>
  </w:num>
  <w:num w:numId="10" w16cid:durableId="1681661983">
    <w:abstractNumId w:val="19"/>
  </w:num>
  <w:num w:numId="11" w16cid:durableId="89084536">
    <w:abstractNumId w:val="4"/>
  </w:num>
  <w:num w:numId="12" w16cid:durableId="946043701">
    <w:abstractNumId w:val="12"/>
  </w:num>
  <w:num w:numId="13" w16cid:durableId="2087679964">
    <w:abstractNumId w:val="16"/>
  </w:num>
  <w:num w:numId="14" w16cid:durableId="1305893468">
    <w:abstractNumId w:val="31"/>
  </w:num>
  <w:num w:numId="15" w16cid:durableId="874195089">
    <w:abstractNumId w:val="10"/>
  </w:num>
  <w:num w:numId="16" w16cid:durableId="2036270118">
    <w:abstractNumId w:val="13"/>
  </w:num>
  <w:num w:numId="17" w16cid:durableId="1187862261">
    <w:abstractNumId w:val="3"/>
  </w:num>
  <w:num w:numId="18" w16cid:durableId="1357779416">
    <w:abstractNumId w:val="23"/>
  </w:num>
  <w:num w:numId="19" w16cid:durableId="55663689">
    <w:abstractNumId w:val="28"/>
  </w:num>
  <w:num w:numId="20" w16cid:durableId="2084643239">
    <w:abstractNumId w:val="27"/>
  </w:num>
  <w:num w:numId="21" w16cid:durableId="2038462745">
    <w:abstractNumId w:val="18"/>
  </w:num>
  <w:num w:numId="22" w16cid:durableId="1151870877">
    <w:abstractNumId w:val="5"/>
  </w:num>
  <w:num w:numId="23" w16cid:durableId="287704658">
    <w:abstractNumId w:val="34"/>
  </w:num>
  <w:num w:numId="24" w16cid:durableId="1856965594">
    <w:abstractNumId w:val="24"/>
  </w:num>
  <w:num w:numId="25" w16cid:durableId="408617055">
    <w:abstractNumId w:val="21"/>
  </w:num>
  <w:num w:numId="26" w16cid:durableId="1671903144">
    <w:abstractNumId w:val="35"/>
  </w:num>
  <w:num w:numId="27" w16cid:durableId="1791900219">
    <w:abstractNumId w:val="1"/>
  </w:num>
  <w:num w:numId="28" w16cid:durableId="974874307">
    <w:abstractNumId w:val="15"/>
  </w:num>
  <w:num w:numId="29" w16cid:durableId="460152859">
    <w:abstractNumId w:val="8"/>
  </w:num>
  <w:num w:numId="30" w16cid:durableId="1402868925">
    <w:abstractNumId w:val="33"/>
  </w:num>
  <w:num w:numId="31" w16cid:durableId="1307005918">
    <w:abstractNumId w:val="29"/>
  </w:num>
  <w:num w:numId="32" w16cid:durableId="794906174">
    <w:abstractNumId w:val="7"/>
  </w:num>
  <w:num w:numId="33" w16cid:durableId="954826468">
    <w:abstractNumId w:val="32"/>
  </w:num>
  <w:num w:numId="34" w16cid:durableId="583491019">
    <w:abstractNumId w:val="26"/>
  </w:num>
  <w:num w:numId="35" w16cid:durableId="1957980731">
    <w:abstractNumId w:val="17"/>
  </w:num>
  <w:num w:numId="36" w16cid:durableId="1483330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MDUwMzI2MTUzNzBQ0lEKTi0uzszPAykwrAUA3niu8CwAAAA="/>
  </w:docVars>
  <w:rsids>
    <w:rsidRoot w:val="00D70E34"/>
    <w:rsid w:val="00017892"/>
    <w:rsid w:val="00053E7A"/>
    <w:rsid w:val="0006671F"/>
    <w:rsid w:val="0008086B"/>
    <w:rsid w:val="000A20CA"/>
    <w:rsid w:val="000B59AF"/>
    <w:rsid w:val="000E403C"/>
    <w:rsid w:val="000F6B05"/>
    <w:rsid w:val="001350F1"/>
    <w:rsid w:val="001875AB"/>
    <w:rsid w:val="0019172E"/>
    <w:rsid w:val="00196260"/>
    <w:rsid w:val="001A556D"/>
    <w:rsid w:val="001F3603"/>
    <w:rsid w:val="00204D19"/>
    <w:rsid w:val="00215ECF"/>
    <w:rsid w:val="00222BFC"/>
    <w:rsid w:val="00224241"/>
    <w:rsid w:val="00257E37"/>
    <w:rsid w:val="00271610"/>
    <w:rsid w:val="00291B4B"/>
    <w:rsid w:val="002B2BFA"/>
    <w:rsid w:val="002B75D1"/>
    <w:rsid w:val="002D49F5"/>
    <w:rsid w:val="002F070D"/>
    <w:rsid w:val="002F2A32"/>
    <w:rsid w:val="002F2B18"/>
    <w:rsid w:val="003012A6"/>
    <w:rsid w:val="00324155"/>
    <w:rsid w:val="0033735F"/>
    <w:rsid w:val="00354A11"/>
    <w:rsid w:val="00367BD3"/>
    <w:rsid w:val="00387FE2"/>
    <w:rsid w:val="00391979"/>
    <w:rsid w:val="003A601E"/>
    <w:rsid w:val="003D46B1"/>
    <w:rsid w:val="003E7861"/>
    <w:rsid w:val="00404538"/>
    <w:rsid w:val="00420628"/>
    <w:rsid w:val="00437569"/>
    <w:rsid w:val="0044635F"/>
    <w:rsid w:val="00452511"/>
    <w:rsid w:val="00460596"/>
    <w:rsid w:val="004A0602"/>
    <w:rsid w:val="004C272D"/>
    <w:rsid w:val="004E1D07"/>
    <w:rsid w:val="00513794"/>
    <w:rsid w:val="0052307E"/>
    <w:rsid w:val="00531D1C"/>
    <w:rsid w:val="0057469E"/>
    <w:rsid w:val="00625BF1"/>
    <w:rsid w:val="006A47B8"/>
    <w:rsid w:val="00713876"/>
    <w:rsid w:val="007557AF"/>
    <w:rsid w:val="00761FFE"/>
    <w:rsid w:val="00793B0C"/>
    <w:rsid w:val="007C528E"/>
    <w:rsid w:val="00805B17"/>
    <w:rsid w:val="00845237"/>
    <w:rsid w:val="00880B04"/>
    <w:rsid w:val="00881C97"/>
    <w:rsid w:val="008860A2"/>
    <w:rsid w:val="008C7FD9"/>
    <w:rsid w:val="008D7B01"/>
    <w:rsid w:val="008F4CBE"/>
    <w:rsid w:val="009166C6"/>
    <w:rsid w:val="00951FCC"/>
    <w:rsid w:val="00966570"/>
    <w:rsid w:val="00983644"/>
    <w:rsid w:val="009869D5"/>
    <w:rsid w:val="009945CA"/>
    <w:rsid w:val="009A2924"/>
    <w:rsid w:val="009B1460"/>
    <w:rsid w:val="009C5F31"/>
    <w:rsid w:val="009E5401"/>
    <w:rsid w:val="009E6DC2"/>
    <w:rsid w:val="009F685C"/>
    <w:rsid w:val="00A25E15"/>
    <w:rsid w:val="00A71A1D"/>
    <w:rsid w:val="00A85CC7"/>
    <w:rsid w:val="00B025DC"/>
    <w:rsid w:val="00B3302E"/>
    <w:rsid w:val="00B356F1"/>
    <w:rsid w:val="00B62FF6"/>
    <w:rsid w:val="00B7483B"/>
    <w:rsid w:val="00BA416C"/>
    <w:rsid w:val="00BB382B"/>
    <w:rsid w:val="00BB6AA9"/>
    <w:rsid w:val="00C049E2"/>
    <w:rsid w:val="00C205CB"/>
    <w:rsid w:val="00C32DAF"/>
    <w:rsid w:val="00C33A15"/>
    <w:rsid w:val="00C405EF"/>
    <w:rsid w:val="00C51DF7"/>
    <w:rsid w:val="00C8470F"/>
    <w:rsid w:val="00CD4E93"/>
    <w:rsid w:val="00CD7253"/>
    <w:rsid w:val="00D10EDA"/>
    <w:rsid w:val="00D36BE1"/>
    <w:rsid w:val="00D57CA9"/>
    <w:rsid w:val="00D70E34"/>
    <w:rsid w:val="00D7479C"/>
    <w:rsid w:val="00D758C3"/>
    <w:rsid w:val="00D87EF3"/>
    <w:rsid w:val="00DA4EFC"/>
    <w:rsid w:val="00DB0EA4"/>
    <w:rsid w:val="00DC0EBB"/>
    <w:rsid w:val="00DD118A"/>
    <w:rsid w:val="00DE3E0A"/>
    <w:rsid w:val="00E1131D"/>
    <w:rsid w:val="00E13E5D"/>
    <w:rsid w:val="00E24566"/>
    <w:rsid w:val="00E950D8"/>
    <w:rsid w:val="00EC578F"/>
    <w:rsid w:val="00ED055D"/>
    <w:rsid w:val="00EF4D36"/>
    <w:rsid w:val="00F00E4B"/>
    <w:rsid w:val="00F4515C"/>
    <w:rsid w:val="00F56254"/>
    <w:rsid w:val="00F570CA"/>
    <w:rsid w:val="00F65C07"/>
    <w:rsid w:val="00F73369"/>
    <w:rsid w:val="00F74F91"/>
    <w:rsid w:val="00F9353C"/>
    <w:rsid w:val="00FB2C86"/>
    <w:rsid w:val="00FE7C1E"/>
    <w:rsid w:val="00FF1E38"/>
    <w:rsid w:val="00FF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D395"/>
  <w15:docId w15:val="{2DD2A23C-C686-48E6-A437-F8505223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5EF"/>
  </w:style>
  <w:style w:type="paragraph" w:styleId="Footer">
    <w:name w:val="footer"/>
    <w:basedOn w:val="Normal"/>
    <w:link w:val="FooterChar"/>
    <w:uiPriority w:val="99"/>
    <w:unhideWhenUsed/>
    <w:rsid w:val="00C40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5EF"/>
  </w:style>
  <w:style w:type="table" w:styleId="TableGrid">
    <w:name w:val="Table Grid"/>
    <w:basedOn w:val="TableNormal"/>
    <w:uiPriority w:val="39"/>
    <w:rsid w:val="00135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e,Paragraphe 2,Recommendation,List Paragraph1,standard lewis,MCHIP_list paragraph,Bullet List,FooterText,Citation List,Evidence on Demand bullet points,Dot pt,No Spacing1,List Paragraph Char Char Char,Indicator Text,Numbered Para 1"/>
    <w:basedOn w:val="Normal"/>
    <w:link w:val="ListParagraphChar"/>
    <w:uiPriority w:val="34"/>
    <w:qFormat/>
    <w:rsid w:val="001350F1"/>
    <w:pPr>
      <w:ind w:left="720"/>
      <w:contextualSpacing/>
    </w:pPr>
  </w:style>
  <w:style w:type="paragraph" w:styleId="BalloonText">
    <w:name w:val="Balloon Text"/>
    <w:basedOn w:val="Normal"/>
    <w:link w:val="BalloonTextChar"/>
    <w:uiPriority w:val="99"/>
    <w:semiHidden/>
    <w:unhideWhenUsed/>
    <w:rsid w:val="00066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71F"/>
    <w:rPr>
      <w:rFonts w:ascii="Segoe UI" w:hAnsi="Segoe UI" w:cs="Segoe UI"/>
      <w:sz w:val="18"/>
      <w:szCs w:val="18"/>
    </w:rPr>
  </w:style>
  <w:style w:type="character" w:styleId="CommentReference">
    <w:name w:val="annotation reference"/>
    <w:basedOn w:val="DefaultParagraphFont"/>
    <w:uiPriority w:val="99"/>
    <w:semiHidden/>
    <w:unhideWhenUsed/>
    <w:rsid w:val="009166C6"/>
    <w:rPr>
      <w:sz w:val="16"/>
      <w:szCs w:val="16"/>
    </w:rPr>
  </w:style>
  <w:style w:type="paragraph" w:styleId="CommentText">
    <w:name w:val="annotation text"/>
    <w:basedOn w:val="Normal"/>
    <w:link w:val="CommentTextChar"/>
    <w:uiPriority w:val="99"/>
    <w:unhideWhenUsed/>
    <w:rsid w:val="009166C6"/>
    <w:pPr>
      <w:spacing w:line="240" w:lineRule="auto"/>
    </w:pPr>
    <w:rPr>
      <w:sz w:val="20"/>
      <w:szCs w:val="20"/>
      <w:lang w:val="en-US"/>
    </w:rPr>
  </w:style>
  <w:style w:type="character" w:customStyle="1" w:styleId="CommentTextChar">
    <w:name w:val="Comment Text Char"/>
    <w:basedOn w:val="DefaultParagraphFont"/>
    <w:link w:val="CommentText"/>
    <w:uiPriority w:val="99"/>
    <w:rsid w:val="009166C6"/>
    <w:rPr>
      <w:sz w:val="20"/>
      <w:szCs w:val="20"/>
      <w:lang w:val="en-US"/>
    </w:rPr>
  </w:style>
  <w:style w:type="paragraph" w:styleId="CommentSubject">
    <w:name w:val="annotation subject"/>
    <w:basedOn w:val="CommentText"/>
    <w:next w:val="CommentText"/>
    <w:link w:val="CommentSubjectChar"/>
    <w:uiPriority w:val="99"/>
    <w:semiHidden/>
    <w:unhideWhenUsed/>
    <w:rsid w:val="009166C6"/>
    <w:rPr>
      <w:b/>
      <w:bCs/>
      <w:lang w:val="en-GB"/>
    </w:rPr>
  </w:style>
  <w:style w:type="character" w:customStyle="1" w:styleId="CommentSubjectChar">
    <w:name w:val="Comment Subject Char"/>
    <w:basedOn w:val="CommentTextChar"/>
    <w:link w:val="CommentSubject"/>
    <w:uiPriority w:val="99"/>
    <w:semiHidden/>
    <w:rsid w:val="009166C6"/>
    <w:rPr>
      <w:b/>
      <w:bCs/>
      <w:sz w:val="20"/>
      <w:szCs w:val="20"/>
      <w:lang w:val="en-US"/>
    </w:rPr>
  </w:style>
  <w:style w:type="paragraph" w:styleId="HTMLPreformatted">
    <w:name w:val="HTML Preformatted"/>
    <w:basedOn w:val="Normal"/>
    <w:link w:val="HTMLPreformattedChar"/>
    <w:uiPriority w:val="99"/>
    <w:semiHidden/>
    <w:unhideWhenUsed/>
    <w:rsid w:val="0076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61FFE"/>
    <w:rPr>
      <w:rFonts w:ascii="Courier New" w:eastAsia="Times New Roman" w:hAnsi="Courier New" w:cs="Courier New"/>
      <w:sz w:val="20"/>
      <w:szCs w:val="20"/>
      <w:lang w:eastAsia="en-GB"/>
    </w:rPr>
  </w:style>
  <w:style w:type="character" w:customStyle="1" w:styleId="y2iqfc">
    <w:name w:val="y2iqfc"/>
    <w:basedOn w:val="DefaultParagraphFont"/>
    <w:rsid w:val="00761FFE"/>
  </w:style>
  <w:style w:type="paragraph" w:styleId="Revision">
    <w:name w:val="Revision"/>
    <w:hidden/>
    <w:uiPriority w:val="99"/>
    <w:semiHidden/>
    <w:rsid w:val="00F56254"/>
    <w:pPr>
      <w:spacing w:after="0" w:line="240" w:lineRule="auto"/>
    </w:pPr>
  </w:style>
  <w:style w:type="character" w:styleId="Hyperlink">
    <w:name w:val="Hyperlink"/>
    <w:basedOn w:val="DefaultParagraphFont"/>
    <w:uiPriority w:val="99"/>
    <w:unhideWhenUsed/>
    <w:rsid w:val="00367BD3"/>
    <w:rPr>
      <w:color w:val="0563C1" w:themeColor="hyperlink"/>
      <w:u w:val="single"/>
    </w:rPr>
  </w:style>
  <w:style w:type="paragraph" w:styleId="NoSpacing">
    <w:name w:val="No Spacing"/>
    <w:uiPriority w:val="1"/>
    <w:qFormat/>
    <w:rsid w:val="000B59AF"/>
    <w:pPr>
      <w:spacing w:after="0" w:line="240" w:lineRule="auto"/>
    </w:pPr>
  </w:style>
  <w:style w:type="character" w:customStyle="1" w:styleId="UnresolvedMention1">
    <w:name w:val="Unresolved Mention1"/>
    <w:basedOn w:val="DefaultParagraphFont"/>
    <w:uiPriority w:val="99"/>
    <w:semiHidden/>
    <w:unhideWhenUsed/>
    <w:rsid w:val="00FF1E38"/>
    <w:rPr>
      <w:color w:val="605E5C"/>
      <w:shd w:val="clear" w:color="auto" w:fill="E1DFDD"/>
    </w:rPr>
  </w:style>
  <w:style w:type="character" w:customStyle="1" w:styleId="ListParagraphChar">
    <w:name w:val="List Paragraph Char"/>
    <w:aliases w:val="texte Char,Paragraphe 2 Char,Recommendation Char,List Paragraph1 Char,standard lewis Char,MCHIP_list paragraph Char,Bullet List Char,FooterText Char,Citation List Char,Evidence on Demand bullet points Char,Dot pt Char"/>
    <w:link w:val="ListParagraph"/>
    <w:uiPriority w:val="34"/>
    <w:qFormat/>
    <w:locked/>
    <w:rsid w:val="00CD4E93"/>
  </w:style>
  <w:style w:type="paragraph" w:customStyle="1" w:styleId="pdq2pgselectionanchorcontainer">
    <w:name w:val="pdq2pg_selectionanchorcontainer"/>
    <w:basedOn w:val="Normal"/>
    <w:rsid w:val="002F2A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F2A32"/>
    <w:rPr>
      <w:b/>
      <w:bCs/>
    </w:rPr>
  </w:style>
  <w:style w:type="paragraph" w:styleId="NormalWeb">
    <w:name w:val="Normal (Web)"/>
    <w:basedOn w:val="Normal"/>
    <w:uiPriority w:val="99"/>
    <w:semiHidden/>
    <w:unhideWhenUsed/>
    <w:rsid w:val="002F2A3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2084">
      <w:bodyDiv w:val="1"/>
      <w:marLeft w:val="0"/>
      <w:marRight w:val="0"/>
      <w:marTop w:val="0"/>
      <w:marBottom w:val="0"/>
      <w:divBdr>
        <w:top w:val="none" w:sz="0" w:space="0" w:color="auto"/>
        <w:left w:val="none" w:sz="0" w:space="0" w:color="auto"/>
        <w:bottom w:val="none" w:sz="0" w:space="0" w:color="auto"/>
        <w:right w:val="none" w:sz="0" w:space="0" w:color="auto"/>
      </w:divBdr>
    </w:div>
    <w:div w:id="483083877">
      <w:bodyDiv w:val="1"/>
      <w:marLeft w:val="0"/>
      <w:marRight w:val="0"/>
      <w:marTop w:val="0"/>
      <w:marBottom w:val="0"/>
      <w:divBdr>
        <w:top w:val="none" w:sz="0" w:space="0" w:color="auto"/>
        <w:left w:val="none" w:sz="0" w:space="0" w:color="auto"/>
        <w:bottom w:val="none" w:sz="0" w:space="0" w:color="auto"/>
        <w:right w:val="none" w:sz="0" w:space="0" w:color="auto"/>
      </w:divBdr>
    </w:div>
    <w:div w:id="712727537">
      <w:bodyDiv w:val="1"/>
      <w:marLeft w:val="0"/>
      <w:marRight w:val="0"/>
      <w:marTop w:val="0"/>
      <w:marBottom w:val="0"/>
      <w:divBdr>
        <w:top w:val="none" w:sz="0" w:space="0" w:color="auto"/>
        <w:left w:val="none" w:sz="0" w:space="0" w:color="auto"/>
        <w:bottom w:val="none" w:sz="0" w:space="0" w:color="auto"/>
        <w:right w:val="none" w:sz="0" w:space="0" w:color="auto"/>
      </w:divBdr>
    </w:div>
    <w:div w:id="1085490453">
      <w:bodyDiv w:val="1"/>
      <w:marLeft w:val="0"/>
      <w:marRight w:val="0"/>
      <w:marTop w:val="0"/>
      <w:marBottom w:val="0"/>
      <w:divBdr>
        <w:top w:val="none" w:sz="0" w:space="0" w:color="auto"/>
        <w:left w:val="none" w:sz="0" w:space="0" w:color="auto"/>
        <w:bottom w:val="none" w:sz="0" w:space="0" w:color="auto"/>
        <w:right w:val="none" w:sz="0" w:space="0" w:color="auto"/>
      </w:divBdr>
    </w:div>
    <w:div w:id="1323313743">
      <w:bodyDiv w:val="1"/>
      <w:marLeft w:val="0"/>
      <w:marRight w:val="0"/>
      <w:marTop w:val="0"/>
      <w:marBottom w:val="0"/>
      <w:divBdr>
        <w:top w:val="none" w:sz="0" w:space="0" w:color="auto"/>
        <w:left w:val="none" w:sz="0" w:space="0" w:color="auto"/>
        <w:bottom w:val="none" w:sz="0" w:space="0" w:color="auto"/>
        <w:right w:val="none" w:sz="0" w:space="0" w:color="auto"/>
      </w:divBdr>
    </w:div>
    <w:div w:id="1399018002">
      <w:bodyDiv w:val="1"/>
      <w:marLeft w:val="0"/>
      <w:marRight w:val="0"/>
      <w:marTop w:val="0"/>
      <w:marBottom w:val="0"/>
      <w:divBdr>
        <w:top w:val="none" w:sz="0" w:space="0" w:color="auto"/>
        <w:left w:val="none" w:sz="0" w:space="0" w:color="auto"/>
        <w:bottom w:val="none" w:sz="0" w:space="0" w:color="auto"/>
        <w:right w:val="none" w:sz="0" w:space="0" w:color="auto"/>
      </w:divBdr>
    </w:div>
    <w:div w:id="1870297374">
      <w:bodyDiv w:val="1"/>
      <w:marLeft w:val="0"/>
      <w:marRight w:val="0"/>
      <w:marTop w:val="0"/>
      <w:marBottom w:val="0"/>
      <w:divBdr>
        <w:top w:val="none" w:sz="0" w:space="0" w:color="auto"/>
        <w:left w:val="none" w:sz="0" w:space="0" w:color="auto"/>
        <w:bottom w:val="none" w:sz="0" w:space="0" w:color="auto"/>
        <w:right w:val="none" w:sz="0" w:space="0" w:color="auto"/>
      </w:divBdr>
    </w:div>
    <w:div w:id="21435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A7541F3204B14CA829717C855269F3" ma:contentTypeVersion="13" ma:contentTypeDescription="Create a new document." ma:contentTypeScope="" ma:versionID="e53b89477fd594adaed9042d12f8ee91">
  <xsd:schema xmlns:xsd="http://www.w3.org/2001/XMLSchema" xmlns:xs="http://www.w3.org/2001/XMLSchema" xmlns:p="http://schemas.microsoft.com/office/2006/metadata/properties" xmlns:ns3="60266f37-4ce0-490d-b398-a0b95d7ddc63" xmlns:ns4="e9f2dc46-33c4-4353-a35a-3b65460e443f" targetNamespace="http://schemas.microsoft.com/office/2006/metadata/properties" ma:root="true" ma:fieldsID="3bd30d14108d8123377d9be1fc0096a0" ns3:_="" ns4:_="">
    <xsd:import namespace="60266f37-4ce0-490d-b398-a0b95d7ddc63"/>
    <xsd:import namespace="e9f2dc46-33c4-4353-a35a-3b65460e44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66f37-4ce0-490d-b398-a0b95d7dd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2dc46-33c4-4353-a35a-3b65460e44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5847E-2C2E-42DA-9957-8160828407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4F083-FC5E-463C-B8E2-101055B87216}">
  <ds:schemaRefs>
    <ds:schemaRef ds:uri="http://schemas.microsoft.com/sharepoint/v3/contenttype/forms"/>
  </ds:schemaRefs>
</ds:datastoreItem>
</file>

<file path=customXml/itemProps3.xml><?xml version="1.0" encoding="utf-8"?>
<ds:datastoreItem xmlns:ds="http://schemas.openxmlformats.org/officeDocument/2006/customXml" ds:itemID="{BEDD083E-68F5-4EEA-9EAB-5DF7993F6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66f37-4ce0-490d-b398-a0b95d7ddc63"/>
    <ds:schemaRef ds:uri="e9f2dc46-33c4-4353-a35a-3b65460e4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Safci, Senem</dc:creator>
  <cp:lastModifiedBy>Naser Lajqi</cp:lastModifiedBy>
  <cp:revision>3</cp:revision>
  <dcterms:created xsi:type="dcterms:W3CDTF">2026-07-14T12:15:00Z</dcterms:created>
  <dcterms:modified xsi:type="dcterms:W3CDTF">2026-07-14T12:16:00Z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0x010100FAA7541F3204B14CA829717C855269F3</vt:lpwstr>
  </property>
  <property fmtid="{D5CDD505-2E9C-101B-9397-08002B2CF9AE}" pid="3" name="GrammarlyDocumentId">
    <vt:lpwstr>3c910d9c-d90a-4632-8107-9a417f9cb430</vt:lpwstr>
  </property>
</Properties>
</file>